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749C" w14:textId="77777777" w:rsidR="006A7EFF" w:rsidRDefault="003D4EB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Önkormányzata Képviselő-testületének 4/2024. (II. 27.) önkormányzati rendelete</w:t>
      </w:r>
    </w:p>
    <w:p w14:paraId="233F7956" w14:textId="77777777" w:rsidR="006A7EFF" w:rsidRDefault="003D4EB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az önkormányzat tulajdonában álló lakások és nem lakás céljára szolgáló helyiségek bérletéről, valamint elidegenítésükről szóló 24/2018. (X. 16.) </w:t>
      </w:r>
      <w:r>
        <w:rPr>
          <w:b/>
          <w:bCs/>
        </w:rPr>
        <w:t>önkormányzati rendelet módosításáról</w:t>
      </w:r>
    </w:p>
    <w:p w14:paraId="551EAAF6" w14:textId="77777777" w:rsidR="006A7EFF" w:rsidRDefault="003D4EB1">
      <w:pPr>
        <w:pStyle w:val="Szvegtrzs"/>
        <w:spacing w:before="220" w:after="0" w:line="240" w:lineRule="auto"/>
        <w:jc w:val="both"/>
      </w:pPr>
      <w:r>
        <w:t xml:space="preserve">Szentendre Város Önkormányzat Képviselő-testülete Magyarország Alaptörvényének 32. cikk (2) bekezdésében biztosított eredeti jogalkotói hatáskörében, az Alaptörvény 32. cikk (1) bekezdés a) pontjában és Magyarország helyi önkormányzatairól szóló 2011. évi CLXXXIX. törvény 13. § (1) bekezdés 9. pontjában meghatározott feladatkörében eljárva, a lakások és helyiségek bérletére, valamint az elidegenítésükre vonatkozó egyes szabályokról szóló 1993. évi LXXVIII. törvény alapján, az önkormányzat tulajdonában álló </w:t>
      </w:r>
      <w:r>
        <w:t>lakások és nem lakás céljára szolgáló helyiségek bérletéről, valamint elidegenítésükről szóló 24/2018. (X. 16.) önkormányzati rendeletét az alábbiak szerint módosítja:</w:t>
      </w:r>
    </w:p>
    <w:p w14:paraId="14918D97" w14:textId="77777777" w:rsidR="006A7EFF" w:rsidRDefault="003D4EB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EF194C0" w14:textId="77777777" w:rsidR="006A7EFF" w:rsidRDefault="003D4EB1">
      <w:pPr>
        <w:pStyle w:val="Szvegtrzs"/>
        <w:spacing w:after="0" w:line="240" w:lineRule="auto"/>
        <w:jc w:val="both"/>
      </w:pPr>
      <w:r>
        <w:t xml:space="preserve">Az önkormányzat tulajdonában álló lakások és nem lakás céljára szolgáló helyiségek bérletéről, valamint elidegenítésükről szóló 24/2018. (X.16.) önkormányzati rendelet 5. §-a </w:t>
      </w:r>
      <w:proofErr w:type="spellStart"/>
      <w:r>
        <w:t>a</w:t>
      </w:r>
      <w:proofErr w:type="spellEnd"/>
      <w:r>
        <w:t xml:space="preserve"> következő (8) bekezdéssel egészül ki:</w:t>
      </w:r>
    </w:p>
    <w:p w14:paraId="04E45AC0" w14:textId="77777777" w:rsidR="006A7EFF" w:rsidRDefault="003D4EB1">
      <w:pPr>
        <w:pStyle w:val="Szvegtrzs"/>
        <w:spacing w:before="240" w:after="240" w:line="240" w:lineRule="auto"/>
        <w:jc w:val="both"/>
      </w:pPr>
      <w:r>
        <w:t>„(8) A lakbér összegét 10 forintra kerekítve kell megállapítani.”</w:t>
      </w:r>
    </w:p>
    <w:p w14:paraId="477A38CA" w14:textId="77777777" w:rsidR="006A7EFF" w:rsidRDefault="003D4EB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36E16A56" w14:textId="77777777" w:rsidR="006A7EFF" w:rsidRDefault="003D4EB1">
      <w:pPr>
        <w:pStyle w:val="Szvegtrzs"/>
        <w:spacing w:after="0" w:line="240" w:lineRule="auto"/>
        <w:jc w:val="both"/>
      </w:pPr>
      <w:r>
        <w:t xml:space="preserve">Az önkormányzat tulajdonában álló lakások és nem lakás céljára szolgáló helyiségek bérletéről, valamint elidegenítésükről szóló 24/2018. (X.16.) önkormányzati rendelet 34. §-a </w:t>
      </w:r>
      <w:proofErr w:type="spellStart"/>
      <w:r>
        <w:t>a</w:t>
      </w:r>
      <w:proofErr w:type="spellEnd"/>
      <w:r>
        <w:t xml:space="preserve"> következő (10) bekezdéssel egészül ki:</w:t>
      </w:r>
    </w:p>
    <w:p w14:paraId="00B92DA1" w14:textId="77777777" w:rsidR="006A7EFF" w:rsidRDefault="003D4EB1">
      <w:pPr>
        <w:pStyle w:val="Szvegtrzs"/>
        <w:spacing w:before="240" w:after="240" w:line="240" w:lineRule="auto"/>
        <w:jc w:val="both"/>
      </w:pPr>
      <w:r>
        <w:t>„(10) A helyiség bérleti díját 10 forintra kerekítve kell megállapítani.”</w:t>
      </w:r>
    </w:p>
    <w:p w14:paraId="5B18186F" w14:textId="77777777" w:rsidR="006A7EFF" w:rsidRDefault="003D4EB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466E34D7" w14:textId="77777777" w:rsidR="006A7EFF" w:rsidRDefault="003D4EB1">
      <w:pPr>
        <w:pStyle w:val="Szvegtrzs"/>
        <w:spacing w:after="0" w:line="240" w:lineRule="auto"/>
        <w:jc w:val="both"/>
      </w:pPr>
      <w:r>
        <w:t>Az önkormányzat tulajdonában álló lakások és nem lakás céljára szolgáló helyiségek bérletéről, valamint elidegenítésükről szóló 24/2018. (X.16.) önkormányzati rendelet 1. melléklete az 1. melléklet szerint módosul.</w:t>
      </w:r>
    </w:p>
    <w:p w14:paraId="0CEDEB3C" w14:textId="77777777" w:rsidR="006A7EFF" w:rsidRDefault="003D4EB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1E660915" w14:textId="77777777" w:rsidR="006A7EFF" w:rsidRDefault="003D4EB1">
      <w:pPr>
        <w:pStyle w:val="Szvegtrzs"/>
        <w:spacing w:after="0" w:line="240" w:lineRule="auto"/>
        <w:jc w:val="both"/>
      </w:pPr>
      <w:r>
        <w:t>Hatályát veszti az önkormányzat tulajdonában álló lakások és nem lakás céljára szolgáló helyiségek bérletéről, valamint elidegenítésükről szóló 24/2018. (X.16.) önkormányzati rendelet 1. melléklet 2.2. pont szövege.</w:t>
      </w:r>
    </w:p>
    <w:p w14:paraId="4B772B84" w14:textId="77777777" w:rsidR="006A7EFF" w:rsidRDefault="003D4EB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73633025" w14:textId="77777777" w:rsidR="003D4EB1" w:rsidRDefault="003D4EB1">
      <w:pPr>
        <w:pStyle w:val="Szvegtrzs"/>
        <w:spacing w:after="0" w:line="240" w:lineRule="auto"/>
        <w:jc w:val="both"/>
      </w:pPr>
      <w:r>
        <w:t>Ez a rendelet 2024. április 1-jén lép hatályba.</w:t>
      </w:r>
    </w:p>
    <w:p w14:paraId="54BADBED" w14:textId="77777777" w:rsidR="003D4EB1" w:rsidRDefault="003D4EB1">
      <w:pPr>
        <w:pStyle w:val="Szvegtrzs"/>
        <w:spacing w:after="0" w:line="240" w:lineRule="auto"/>
        <w:jc w:val="both"/>
      </w:pPr>
    </w:p>
    <w:p w14:paraId="0ACA0FC8" w14:textId="77777777" w:rsidR="003D4EB1" w:rsidRDefault="003D4EB1">
      <w:pPr>
        <w:pStyle w:val="Szvegtrzs"/>
        <w:spacing w:after="0" w:line="240" w:lineRule="auto"/>
        <w:jc w:val="both"/>
      </w:pPr>
    </w:p>
    <w:p w14:paraId="47D6E246" w14:textId="77777777" w:rsidR="003D4EB1" w:rsidRDefault="003D4EB1" w:rsidP="003D4EB1">
      <w:pPr>
        <w:pStyle w:val="Szvegtrzs"/>
        <w:spacing w:before="159" w:after="159" w:line="240" w:lineRule="auto"/>
        <w:ind w:right="159"/>
        <w:jc w:val="both"/>
      </w:pPr>
      <w:r>
        <w:lastRenderedPageBreak/>
        <w:t>Szentendre, 2024. február 21.</w:t>
      </w:r>
    </w:p>
    <w:p w14:paraId="19B3770A" w14:textId="77777777" w:rsidR="003D4EB1" w:rsidRDefault="003D4EB1" w:rsidP="003D4EB1">
      <w:pPr>
        <w:pStyle w:val="Szvegtrzs"/>
        <w:spacing w:before="159" w:after="159" w:line="240" w:lineRule="auto"/>
        <w:ind w:left="159" w:right="159"/>
        <w:jc w:val="both"/>
      </w:pPr>
    </w:p>
    <w:p w14:paraId="14EA8BC8" w14:textId="77777777" w:rsidR="003D4EB1" w:rsidRDefault="003D4EB1" w:rsidP="003D4EB1">
      <w:pPr>
        <w:pStyle w:val="Szvegtrzs"/>
        <w:spacing w:before="159" w:after="159" w:line="240" w:lineRule="auto"/>
        <w:ind w:left="159" w:right="159"/>
        <w:jc w:val="both"/>
      </w:pPr>
      <w:r>
        <w:tab/>
      </w:r>
    </w:p>
    <w:p w14:paraId="050146A2" w14:textId="77777777" w:rsidR="003D4EB1" w:rsidRDefault="003D4EB1" w:rsidP="003D4EB1">
      <w:pPr>
        <w:pStyle w:val="Szvegtrzs"/>
        <w:spacing w:after="0" w:line="240" w:lineRule="auto"/>
        <w:ind w:left="159" w:right="159"/>
        <w:jc w:val="both"/>
        <w:rPr>
          <w:b/>
          <w:bCs/>
        </w:rPr>
      </w:pPr>
      <w:r>
        <w:rPr>
          <w:b/>
          <w:bCs/>
        </w:rPr>
        <w:tab/>
        <w:t xml:space="preserve"> Fülöp Zsolt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dr. </w:t>
      </w:r>
      <w:proofErr w:type="spellStart"/>
      <w:r>
        <w:rPr>
          <w:b/>
          <w:bCs/>
        </w:rPr>
        <w:t>Schramm</w:t>
      </w:r>
      <w:proofErr w:type="spellEnd"/>
      <w:r>
        <w:rPr>
          <w:b/>
          <w:bCs/>
        </w:rPr>
        <w:t xml:space="preserve"> Gábor</w:t>
      </w:r>
    </w:p>
    <w:p w14:paraId="1CFF7990" w14:textId="77777777" w:rsidR="003D4EB1" w:rsidRDefault="003D4EB1" w:rsidP="003D4EB1">
      <w:pPr>
        <w:pStyle w:val="Szvegtrzs"/>
        <w:spacing w:after="0" w:line="240" w:lineRule="auto"/>
        <w:ind w:left="159" w:right="159"/>
        <w:jc w:val="both"/>
      </w:pPr>
      <w:r>
        <w:tab/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0FE75272" w14:textId="77777777" w:rsidR="003D4EB1" w:rsidRDefault="003D4EB1" w:rsidP="003D4EB1">
      <w:pPr>
        <w:pStyle w:val="Szvegtrzs"/>
        <w:spacing w:after="0" w:line="240" w:lineRule="auto"/>
        <w:ind w:left="159" w:right="159"/>
        <w:jc w:val="both"/>
      </w:pPr>
    </w:p>
    <w:p w14:paraId="38529DAE" w14:textId="77777777" w:rsidR="003D4EB1" w:rsidRDefault="003D4EB1" w:rsidP="003D4EB1">
      <w:pPr>
        <w:pStyle w:val="Szvegtrzs"/>
        <w:spacing w:after="0" w:line="240" w:lineRule="auto"/>
        <w:ind w:left="159" w:right="159"/>
        <w:jc w:val="both"/>
      </w:pPr>
    </w:p>
    <w:p w14:paraId="5477F3E0" w14:textId="77777777" w:rsidR="003D4EB1" w:rsidRDefault="003D4EB1" w:rsidP="003D4EB1">
      <w:pPr>
        <w:pStyle w:val="Szvegtrzs"/>
        <w:spacing w:after="0" w:line="240" w:lineRule="auto"/>
        <w:ind w:left="159" w:right="159"/>
        <w:jc w:val="both"/>
      </w:pPr>
    </w:p>
    <w:p w14:paraId="18D3C626" w14:textId="77777777" w:rsidR="003D4EB1" w:rsidRDefault="003D4EB1" w:rsidP="003D4EB1">
      <w:pPr>
        <w:pStyle w:val="Szvegtrzs"/>
        <w:spacing w:after="0" w:line="240" w:lineRule="auto"/>
        <w:ind w:left="159" w:right="159"/>
        <w:jc w:val="both"/>
        <w:rPr>
          <w:b/>
          <w:bCs/>
          <w:u w:val="single"/>
        </w:rPr>
      </w:pPr>
      <w:r>
        <w:rPr>
          <w:b/>
          <w:bCs/>
          <w:u w:val="single"/>
        </w:rPr>
        <w:t>Záradék:</w:t>
      </w:r>
    </w:p>
    <w:p w14:paraId="0F655741" w14:textId="5F1EC805" w:rsidR="003D4EB1" w:rsidRDefault="003D4EB1" w:rsidP="003D4EB1">
      <w:pPr>
        <w:pStyle w:val="Szvegtrzs"/>
        <w:spacing w:after="0" w:line="240" w:lineRule="auto"/>
        <w:ind w:left="159" w:right="159"/>
        <w:jc w:val="both"/>
      </w:pPr>
      <w:r>
        <w:t xml:space="preserve">A rendelet 2024. február </w:t>
      </w:r>
      <w:r>
        <w:t>27</w:t>
      </w:r>
      <w:r>
        <w:t>-</w:t>
      </w:r>
      <w:r>
        <w:t>é</w:t>
      </w:r>
      <w:r>
        <w:t>n került kihirdetésre.</w:t>
      </w:r>
    </w:p>
    <w:p w14:paraId="3DD11BF9" w14:textId="77777777" w:rsidR="003D4EB1" w:rsidRDefault="003D4EB1" w:rsidP="003D4EB1">
      <w:pPr>
        <w:pStyle w:val="Szvegtrzs"/>
        <w:spacing w:after="0" w:line="240" w:lineRule="auto"/>
        <w:ind w:left="159" w:right="159"/>
        <w:jc w:val="both"/>
      </w:pPr>
    </w:p>
    <w:p w14:paraId="1A2B049D" w14:textId="77777777" w:rsidR="003D4EB1" w:rsidRDefault="003D4EB1" w:rsidP="003D4EB1">
      <w:pPr>
        <w:ind w:left="6372"/>
      </w:pPr>
      <w:r>
        <w:rPr>
          <w:b/>
          <w:bCs/>
        </w:rPr>
        <w:t xml:space="preserve">dr. </w:t>
      </w:r>
      <w:proofErr w:type="spellStart"/>
      <w:r>
        <w:rPr>
          <w:b/>
          <w:bCs/>
        </w:rPr>
        <w:t>Schramm</w:t>
      </w:r>
      <w:proofErr w:type="spellEnd"/>
      <w:r>
        <w:rPr>
          <w:b/>
          <w:bCs/>
        </w:rPr>
        <w:t xml:space="preserve"> Gábor</w:t>
      </w:r>
    </w:p>
    <w:p w14:paraId="7F5CB6C0" w14:textId="77777777" w:rsidR="003D4EB1" w:rsidRDefault="003D4EB1" w:rsidP="003D4EB1">
      <w:pPr>
        <w:pStyle w:val="Szvegtrzs"/>
        <w:spacing w:after="0" w:line="240" w:lineRule="auto"/>
        <w:ind w:left="6372" w:right="159" w:firstLine="708"/>
        <w:jc w:val="both"/>
      </w:pPr>
      <w:r>
        <w:t>jegyző</w:t>
      </w:r>
    </w:p>
    <w:p w14:paraId="22DBDB0A" w14:textId="77777777" w:rsidR="003D4EB1" w:rsidRDefault="003D4EB1" w:rsidP="003D4EB1">
      <w:pPr>
        <w:pStyle w:val="Szvegtrzs"/>
        <w:spacing w:after="0" w:line="240" w:lineRule="auto"/>
        <w:jc w:val="both"/>
      </w:pPr>
    </w:p>
    <w:p w14:paraId="35CD4C55" w14:textId="1F93F927" w:rsidR="006A7EFF" w:rsidRDefault="003D4EB1">
      <w:pPr>
        <w:pStyle w:val="Szvegtrzs"/>
        <w:spacing w:after="0" w:line="240" w:lineRule="auto"/>
        <w:jc w:val="both"/>
      </w:pPr>
      <w:r>
        <w:br w:type="page"/>
      </w:r>
    </w:p>
    <w:p w14:paraId="1FF62981" w14:textId="77777777" w:rsidR="006A7EFF" w:rsidRDefault="003D4EB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4/2024. (II. 27.) önkormányzati rendelethez</w:t>
      </w:r>
    </w:p>
    <w:p w14:paraId="41A2FE6C" w14:textId="77777777" w:rsidR="006A7EFF" w:rsidRDefault="003D4EB1">
      <w:pPr>
        <w:pStyle w:val="Szvegtrzs"/>
        <w:spacing w:before="220" w:after="0" w:line="240" w:lineRule="auto"/>
        <w:jc w:val="both"/>
      </w:pPr>
      <w:r>
        <w:t>1. Az önkormányzat tulajdonában álló lakások és nem lakás céljára szolgáló helyiségek bérletéről, valamint elidegenítésükről szóló 24/2018. (X.16.) önkormányzati rendelet 1. melléklet 2.1. pontjában foglalt táblázat „Összkomfortos” sora, „Komfortos” sora, „Félkomfortos” sora és „Komfort nélküli” sora helyébe a következő rendelkezések lépnek:</w:t>
      </w:r>
    </w:p>
    <w:p w14:paraId="250756CB" w14:textId="77777777" w:rsidR="006A7EFF" w:rsidRDefault="003D4EB1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6"/>
        <w:gridCol w:w="3181"/>
        <w:gridCol w:w="3181"/>
      </w:tblGrid>
      <w:tr w:rsidR="006A7EFF" w14:paraId="2975E3DC" w14:textId="77777777">
        <w:trPr>
          <w:tblHeader/>
        </w:trPr>
        <w:tc>
          <w:tcPr>
            <w:tcW w:w="6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97041" w14:textId="77777777" w:rsidR="006A7EFF" w:rsidRDefault="003D4EB1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("A" Övezet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44489" w14:textId="77777777" w:rsidR="006A7EFF" w:rsidRDefault="003D4EB1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"B" Övezet</w:t>
            </w:r>
          </w:p>
        </w:tc>
      </w:tr>
      <w:tr w:rsidR="006A7EFF" w14:paraId="6CBF1A0B" w14:textId="77777777">
        <w:trPr>
          <w:tblHeader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32938" w14:textId="77777777" w:rsidR="006A7EFF" w:rsidRDefault="003D4EB1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A lakás komfortfokozata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108F5" w14:textId="77777777" w:rsidR="006A7EFF" w:rsidRDefault="003D4EB1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Ft/m</w:t>
            </w:r>
            <w:r>
              <w:rPr>
                <w:b/>
                <w:bCs/>
                <w:i/>
                <w:iCs/>
                <w:sz w:val="21"/>
                <w:szCs w:val="21"/>
                <w:vertAlign w:val="superscript"/>
              </w:rPr>
              <w:t>2</w:t>
            </w:r>
            <w:r>
              <w:rPr>
                <w:b/>
                <w:bCs/>
                <w:i/>
                <w:iCs/>
                <w:sz w:val="21"/>
                <w:szCs w:val="21"/>
              </w:rPr>
              <w:t>/hónap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8102" w14:textId="77777777" w:rsidR="006A7EFF" w:rsidRDefault="003D4EB1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Ft/m</w:t>
            </w:r>
            <w:r>
              <w:rPr>
                <w:b/>
                <w:bCs/>
                <w:i/>
                <w:iCs/>
                <w:sz w:val="21"/>
                <w:szCs w:val="21"/>
                <w:vertAlign w:val="superscript"/>
              </w:rPr>
              <w:t>2</w:t>
            </w:r>
            <w:r>
              <w:rPr>
                <w:b/>
                <w:bCs/>
                <w:i/>
                <w:iCs/>
                <w:sz w:val="21"/>
                <w:szCs w:val="21"/>
              </w:rPr>
              <w:t>/hónap)</w:t>
            </w:r>
          </w:p>
        </w:tc>
      </w:tr>
      <w:tr w:rsidR="006A7EFF" w14:paraId="4B678BD0" w14:textId="77777777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FC9F" w14:textId="77777777" w:rsidR="006A7EFF" w:rsidRDefault="003D4EB1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Összkomfortos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65DDD" w14:textId="77777777" w:rsidR="006A7EFF" w:rsidRDefault="003D4EB1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751,58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DC19" w14:textId="77777777" w:rsidR="006A7EFF" w:rsidRDefault="003D4EB1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„A” </w:t>
            </w:r>
            <w:r>
              <w:rPr>
                <w:b/>
                <w:bCs/>
                <w:sz w:val="21"/>
                <w:szCs w:val="21"/>
              </w:rPr>
              <w:t>övezeti összkomfortos lakás lakbérének 70%-a</w:t>
            </w:r>
            <w:r>
              <w:rPr>
                <w:sz w:val="21"/>
                <w:szCs w:val="21"/>
              </w:rPr>
              <w:br/>
              <w:t>526,11</w:t>
            </w:r>
          </w:p>
        </w:tc>
      </w:tr>
      <w:tr w:rsidR="006A7EFF" w14:paraId="6BA02D51" w14:textId="77777777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B9782" w14:textId="77777777" w:rsidR="006A7EFF" w:rsidRDefault="003D4EB1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Komfortos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341C" w14:textId="77777777" w:rsidR="006A7EFF" w:rsidRDefault="003D4EB1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proofErr w:type="gramStart"/>
            <w:r>
              <w:rPr>
                <w:b/>
                <w:bCs/>
                <w:sz w:val="21"/>
                <w:szCs w:val="21"/>
              </w:rPr>
              <w:t>”A</w:t>
            </w:r>
            <w:proofErr w:type="gramEnd"/>
            <w:r>
              <w:rPr>
                <w:b/>
                <w:bCs/>
                <w:sz w:val="21"/>
                <w:szCs w:val="21"/>
              </w:rPr>
              <w:t>” övezeti összkomfortos lakás lakbérének 70%-a</w:t>
            </w:r>
            <w:r>
              <w:rPr>
                <w:sz w:val="21"/>
                <w:szCs w:val="21"/>
              </w:rPr>
              <w:br/>
              <w:t>526,11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06DC" w14:textId="77777777" w:rsidR="006A7EFF" w:rsidRDefault="003D4EB1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„B” övezeti összkomfortos lakás lakbérének 70%-a</w:t>
            </w:r>
            <w:r>
              <w:rPr>
                <w:sz w:val="21"/>
                <w:szCs w:val="21"/>
              </w:rPr>
              <w:br/>
              <w:t>368,28</w:t>
            </w:r>
          </w:p>
        </w:tc>
      </w:tr>
      <w:tr w:rsidR="006A7EFF" w14:paraId="2F50AC49" w14:textId="77777777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5EF4" w14:textId="77777777" w:rsidR="006A7EFF" w:rsidRDefault="003D4EB1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Félkomfortos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B172" w14:textId="77777777" w:rsidR="006A7EFF" w:rsidRDefault="003D4EB1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„A” övezeti összkomfortos lakás lakbérének 60%-a</w:t>
            </w:r>
            <w:r>
              <w:rPr>
                <w:sz w:val="21"/>
                <w:szCs w:val="21"/>
              </w:rPr>
              <w:br/>
              <w:t>450,95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5787" w14:textId="77777777" w:rsidR="006A7EFF" w:rsidRDefault="003D4EB1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„B” </w:t>
            </w:r>
            <w:r>
              <w:rPr>
                <w:b/>
                <w:bCs/>
                <w:sz w:val="21"/>
                <w:szCs w:val="21"/>
              </w:rPr>
              <w:t>övezeti összkomfortos lakás lakbérének 60%-a</w:t>
            </w:r>
            <w:r>
              <w:rPr>
                <w:sz w:val="21"/>
                <w:szCs w:val="21"/>
              </w:rPr>
              <w:br/>
              <w:t>315,67</w:t>
            </w:r>
          </w:p>
        </w:tc>
      </w:tr>
      <w:tr w:rsidR="006A7EFF" w14:paraId="170F727F" w14:textId="77777777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E48FB" w14:textId="77777777" w:rsidR="006A7EFF" w:rsidRDefault="003D4EB1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Komfort nélküli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2A492" w14:textId="77777777" w:rsidR="006A7EFF" w:rsidRDefault="003D4EB1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„A” övezeti összkomfortos lakás lakbérének 50%-a</w:t>
            </w:r>
            <w:r>
              <w:rPr>
                <w:sz w:val="21"/>
                <w:szCs w:val="21"/>
              </w:rPr>
              <w:br/>
              <w:t>375,79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03148" w14:textId="77777777" w:rsidR="006A7EFF" w:rsidRDefault="003D4EB1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„B” övezeti összkomfortos lakás lakbérének 50%-a</w:t>
            </w:r>
            <w:r>
              <w:rPr>
                <w:sz w:val="21"/>
                <w:szCs w:val="21"/>
              </w:rPr>
              <w:br/>
              <w:t>263,06</w:t>
            </w:r>
          </w:p>
        </w:tc>
      </w:tr>
    </w:tbl>
    <w:p w14:paraId="46A835B9" w14:textId="77777777" w:rsidR="006A7EFF" w:rsidRDefault="003D4EB1">
      <w:pPr>
        <w:jc w:val="right"/>
      </w:pPr>
      <w:r>
        <w:t>”</w:t>
      </w:r>
    </w:p>
    <w:p w14:paraId="3E21CDE7" w14:textId="77777777" w:rsidR="006A7EFF" w:rsidRDefault="003D4EB1">
      <w:pPr>
        <w:pStyle w:val="Szvegtrzs"/>
        <w:spacing w:before="220" w:after="0" w:line="240" w:lineRule="auto"/>
        <w:jc w:val="both"/>
      </w:pPr>
      <w:r>
        <w:t>2. Az önkormányzat tulajdonában álló lakások és nem lakás céljára szolgáló helyiségek bérletéről, valamint elidegenítésükről szóló 24/2018. (X.16.) önkormányzati rendelet 1. melléklet 2.2. pontjában foglalt táblázat a következő 4. sor, „Az Emelt I. lakbér az alábbi képlettel képződik: Fizetendő bérleti díj (Ft/m2/hó) = X + ((1,5X/2*ÖNYM) * (Y – 2*ÖNYM)) Egyedülálló bérlő esetén fizetendő bérleti díj (Ft/m2/hó) = X + ((1,5X/2*ÖNYM) * (Y – 4*ÖNYM)) Ahol X: a szociális helyzet alapján történő bérbeadás lakbéré</w:t>
      </w:r>
      <w:r>
        <w:t>nek mértéke a lakás komfortokozata és övezeti besorolása alapján ÖNYM: mindenkori saját jogú öregségi nyugdíjminimum összege (a tárgyévet megelőző évben 28.500,- Ft/hó) Y: az egy főre eső havi nettó átlagjövedelem” sor és „Az Emelt II. lakbér a 2.1. pontba foglalt táblázat alapján számított szociális alapú lakbér két és félszerese.” sorral egészül ki:</w:t>
      </w:r>
    </w:p>
    <w:p w14:paraId="31E4ECA3" w14:textId="77777777" w:rsidR="006A7EFF" w:rsidRDefault="003D4EB1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5"/>
        <w:gridCol w:w="3277"/>
        <w:gridCol w:w="3856"/>
      </w:tblGrid>
      <w:tr w:rsidR="006A7EFF" w14:paraId="35CCA5C9" w14:textId="77777777">
        <w:trPr>
          <w:tblHeader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6FB43" w14:textId="77777777" w:rsidR="006A7EFF" w:rsidRDefault="003D4EB1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(</w:t>
            </w:r>
            <w:r>
              <w:rPr>
                <w:b/>
                <w:bCs/>
                <w:sz w:val="21"/>
                <w:szCs w:val="21"/>
              </w:rPr>
              <w:br/>
            </w:r>
            <w:r>
              <w:rPr>
                <w:b/>
                <w:bCs/>
                <w:i/>
                <w:iCs/>
                <w:sz w:val="21"/>
                <w:szCs w:val="21"/>
              </w:rPr>
              <w:t>Bérleti díj megnevezése</w:t>
            </w:r>
            <w:r>
              <w:rPr>
                <w:b/>
                <w:bCs/>
                <w:sz w:val="21"/>
                <w:szCs w:val="21"/>
              </w:rPr>
              <w:br/>
            </w:r>
            <w:r>
              <w:rPr>
                <w:b/>
                <w:bCs/>
                <w:i/>
                <w:iCs/>
                <w:sz w:val="21"/>
                <w:szCs w:val="21"/>
              </w:rPr>
              <w:t>jogosultság szerint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0F35" w14:textId="77777777" w:rsidR="006A7EFF" w:rsidRDefault="003D4EB1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br/>
            </w:r>
            <w:r>
              <w:rPr>
                <w:b/>
                <w:bCs/>
                <w:i/>
                <w:iCs/>
                <w:sz w:val="21"/>
                <w:szCs w:val="21"/>
              </w:rPr>
              <w:t>Több együtt lakó esetén</w:t>
            </w:r>
            <w:r>
              <w:rPr>
                <w:b/>
                <w:bCs/>
                <w:sz w:val="21"/>
                <w:szCs w:val="21"/>
              </w:rPr>
              <w:br/>
            </w:r>
            <w:r>
              <w:rPr>
                <w:b/>
                <w:bCs/>
                <w:i/>
                <w:iCs/>
                <w:sz w:val="21"/>
                <w:szCs w:val="21"/>
              </w:rPr>
              <w:t>(maximálisan megengedett 1 főre eső</w:t>
            </w:r>
            <w:r>
              <w:rPr>
                <w:b/>
                <w:bCs/>
                <w:sz w:val="21"/>
                <w:szCs w:val="21"/>
              </w:rPr>
              <w:br/>
            </w:r>
            <w:r>
              <w:rPr>
                <w:b/>
                <w:bCs/>
                <w:i/>
                <w:iCs/>
                <w:sz w:val="21"/>
                <w:szCs w:val="21"/>
              </w:rPr>
              <w:t>nettó jövedelem Ft / hó)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E443C" w14:textId="77777777" w:rsidR="006A7EFF" w:rsidRDefault="003D4EB1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Egyedülálló vagy gyermekét egyedül nevelő</w:t>
            </w:r>
            <w:r>
              <w:rPr>
                <w:b/>
                <w:bCs/>
                <w:sz w:val="21"/>
                <w:szCs w:val="21"/>
              </w:rPr>
              <w:br/>
            </w:r>
            <w:r>
              <w:rPr>
                <w:b/>
                <w:bCs/>
                <w:i/>
                <w:iCs/>
                <w:sz w:val="21"/>
                <w:szCs w:val="21"/>
              </w:rPr>
              <w:t>bérlő esetén</w:t>
            </w:r>
            <w:r>
              <w:rPr>
                <w:b/>
                <w:bCs/>
                <w:sz w:val="21"/>
                <w:szCs w:val="21"/>
              </w:rPr>
              <w:br/>
            </w:r>
            <w:r>
              <w:rPr>
                <w:b/>
                <w:bCs/>
                <w:i/>
                <w:iCs/>
                <w:sz w:val="21"/>
                <w:szCs w:val="21"/>
              </w:rPr>
              <w:t>(maximálisan megengedett 1 főre eső nettó</w:t>
            </w:r>
            <w:r>
              <w:rPr>
                <w:b/>
                <w:bCs/>
                <w:sz w:val="21"/>
                <w:szCs w:val="21"/>
              </w:rPr>
              <w:br/>
            </w:r>
            <w:r>
              <w:rPr>
                <w:b/>
                <w:bCs/>
                <w:i/>
                <w:iCs/>
                <w:sz w:val="21"/>
                <w:szCs w:val="21"/>
              </w:rPr>
              <w:t>jövedelem Ft / hó))</w:t>
            </w:r>
          </w:p>
        </w:tc>
      </w:tr>
      <w:tr w:rsidR="006A7EFF" w14:paraId="6AA5A48C" w14:textId="77777777">
        <w:tc>
          <w:tcPr>
            <w:tcW w:w="5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0F0C1" w14:textId="77777777" w:rsidR="006A7EFF" w:rsidRDefault="006A7EFF">
            <w:pPr>
              <w:pStyle w:val="Szvegtrzs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E2B2" w14:textId="77777777" w:rsidR="006A7EFF" w:rsidRDefault="006A7EFF">
            <w:pPr>
              <w:pStyle w:val="Szvegtrzs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6A7EFF" w14:paraId="61782541" w14:textId="77777777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7F8D" w14:textId="77777777" w:rsidR="006A7EFF" w:rsidRDefault="003D4EB1">
            <w:pPr>
              <w:pStyle w:val="Szvegtrzs"/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Az </w:t>
            </w:r>
            <w:r>
              <w:rPr>
                <w:b/>
                <w:bCs/>
                <w:sz w:val="21"/>
                <w:szCs w:val="21"/>
              </w:rPr>
              <w:t>Emelt I.</w:t>
            </w:r>
            <w:r>
              <w:rPr>
                <w:sz w:val="21"/>
                <w:szCs w:val="21"/>
              </w:rPr>
              <w:t xml:space="preserve"> lakbér az alábbi képlettel képződik:</w:t>
            </w:r>
            <w:r>
              <w:rPr>
                <w:sz w:val="21"/>
                <w:szCs w:val="21"/>
              </w:rPr>
              <w:tab/>
              <w:t xml:space="preserve">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Fizetendő bérleti díj (Ft/m2/hó) = X + ((1,5X/2*ÖNYM) * (Y – 2*ÖNYM))</w:t>
            </w:r>
            <w:r>
              <w:rPr>
                <w:sz w:val="21"/>
                <w:szCs w:val="21"/>
              </w:rPr>
              <w:tab/>
              <w:t xml:space="preserve">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Egyedülálló bérlő esetén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fizetendő bérleti díj (Ft/m2/hó) = X + ((1,5X/2*ÖNYM) * (Y – 4*ÖNYM))</w:t>
            </w:r>
            <w:r>
              <w:rPr>
                <w:sz w:val="21"/>
                <w:szCs w:val="21"/>
              </w:rPr>
              <w:tab/>
              <w:t xml:space="preserve"> </w:t>
            </w:r>
            <w:r>
              <w:rPr>
                <w:sz w:val="21"/>
                <w:szCs w:val="21"/>
              </w:rPr>
              <w:br/>
              <w:t xml:space="preserve">Ahol </w:t>
            </w:r>
            <w:r>
              <w:rPr>
                <w:sz w:val="21"/>
                <w:szCs w:val="21"/>
              </w:rPr>
              <w:tab/>
              <w:t xml:space="preserve"> 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X: a szociális helyzet alapján történő bérbeadás lakbérének mértéke a lakás komfortokozata és övezeti besorolása alapján</w:t>
            </w:r>
            <w:r>
              <w:rPr>
                <w:sz w:val="21"/>
                <w:szCs w:val="21"/>
              </w:rPr>
              <w:tab/>
              <w:t xml:space="preserve"> </w:t>
            </w:r>
            <w:r>
              <w:rPr>
                <w:sz w:val="21"/>
                <w:szCs w:val="21"/>
              </w:rPr>
              <w:br/>
              <w:t>ÖNYM: mindenkori saját jogú öregségi nyugdíjminimum összege (a tárgyévet megelőző évben 28.500,- Ft/hó)</w:t>
            </w:r>
            <w:r>
              <w:rPr>
                <w:sz w:val="21"/>
                <w:szCs w:val="21"/>
              </w:rPr>
              <w:tab/>
              <w:t xml:space="preserve"> </w:t>
            </w:r>
            <w:r>
              <w:rPr>
                <w:sz w:val="21"/>
                <w:szCs w:val="21"/>
              </w:rPr>
              <w:br/>
              <w:t>Y: az egy főre eső havi nettó átlagjövedelem</w:t>
            </w:r>
          </w:p>
        </w:tc>
      </w:tr>
      <w:tr w:rsidR="006A7EFF" w14:paraId="23B08CD0" w14:textId="77777777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A1125" w14:textId="77777777" w:rsidR="006A7EFF" w:rsidRDefault="003D4EB1">
            <w:pPr>
              <w:pStyle w:val="Szvegtrzs"/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Az Emelt II. lakbér 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2.1. pontba foglalt táblázat alapján számított szociális alapú lakbér két és félszerese.</w:t>
            </w:r>
          </w:p>
        </w:tc>
      </w:tr>
    </w:tbl>
    <w:p w14:paraId="4716CF45" w14:textId="77777777" w:rsidR="006A7EFF" w:rsidRDefault="003D4EB1">
      <w:pPr>
        <w:jc w:val="right"/>
      </w:pPr>
      <w:r>
        <w:t>”</w:t>
      </w:r>
    </w:p>
    <w:p w14:paraId="511A5D63" w14:textId="77777777" w:rsidR="006A7EFF" w:rsidRDefault="003D4EB1">
      <w:pPr>
        <w:pStyle w:val="Szvegtrzs"/>
        <w:spacing w:before="220" w:after="0" w:line="240" w:lineRule="auto"/>
        <w:jc w:val="both"/>
      </w:pPr>
      <w:r>
        <w:lastRenderedPageBreak/>
        <w:t xml:space="preserve">3. Az önkormányzat tulajdonában álló lakások és nem lakás céljára szolgáló helyiségek bérletéről, valamint </w:t>
      </w:r>
      <w:r>
        <w:t>elidegenítésükről szóló 24/2018. (X.16.) önkormányzati rendelet 1. melléklet 3. pont helyébe a következő pont lép:</w:t>
      </w:r>
    </w:p>
    <w:p w14:paraId="7B7D7833" w14:textId="77777777" w:rsidR="006A7EFF" w:rsidRDefault="003D4EB1">
      <w:pPr>
        <w:pStyle w:val="Szvegtrzs"/>
        <w:spacing w:before="240" w:after="240" w:line="240" w:lineRule="auto"/>
        <w:jc w:val="both"/>
      </w:pPr>
      <w:r>
        <w:t xml:space="preserve">„3. </w:t>
      </w:r>
      <w:r>
        <w:rPr>
          <w:b/>
          <w:bCs/>
        </w:rPr>
        <w:t xml:space="preserve">Lakás nem lakás céljára történő bérbeadása esetén alkalmazandó bérleti díj legkisebb összege: </w:t>
      </w:r>
      <w:proofErr w:type="gramStart"/>
      <w:r>
        <w:t>3.000,-</w:t>
      </w:r>
      <w:proofErr w:type="gramEnd"/>
      <w:r>
        <w:t xml:space="preserve"> Ft/m</w:t>
      </w:r>
      <w:r>
        <w:rPr>
          <w:vertAlign w:val="superscript"/>
        </w:rPr>
        <w:t>2</w:t>
      </w:r>
      <w:r>
        <w:t>/hó”</w:t>
      </w:r>
    </w:p>
    <w:p w14:paraId="1779498C" w14:textId="77777777" w:rsidR="006A7EFF" w:rsidRDefault="003D4EB1">
      <w:pPr>
        <w:pStyle w:val="Szvegtrzs"/>
        <w:spacing w:before="220" w:after="0" w:line="240" w:lineRule="auto"/>
        <w:jc w:val="both"/>
      </w:pPr>
      <w:r>
        <w:t xml:space="preserve">4. Az </w:t>
      </w:r>
      <w:r>
        <w:t>önkormányzat tulajdonában álló lakások és nem lakás céljára szolgáló helyiségek bérletéről, valamint elidegenítésükről szóló 24/2018. (X.16.) önkormányzati rendelet 1. melléklet 4. pontja helyébe a következő pont lép:</w:t>
      </w:r>
    </w:p>
    <w:p w14:paraId="23072DA5" w14:textId="77777777" w:rsidR="006A7EFF" w:rsidRDefault="003D4EB1">
      <w:pPr>
        <w:pStyle w:val="Szvegtrzs"/>
        <w:spacing w:before="240" w:after="0" w:line="240" w:lineRule="auto"/>
        <w:jc w:val="both"/>
      </w:pPr>
      <w:r>
        <w:t xml:space="preserve">„4. </w:t>
      </w:r>
      <w:r>
        <w:rPr>
          <w:b/>
          <w:bCs/>
        </w:rPr>
        <w:t>A piaci alapú lakbér pályázati, induló licit összegének mértéke</w:t>
      </w:r>
      <w:r>
        <w:t xml:space="preserve"> legalább</w:t>
      </w:r>
      <w:r>
        <w:rPr>
          <w:b/>
          <w:bCs/>
        </w:rPr>
        <w:t>:</w:t>
      </w:r>
    </w:p>
    <w:p w14:paraId="656EC5BE" w14:textId="77777777" w:rsidR="006A7EFF" w:rsidRDefault="003D4EB1">
      <w:pPr>
        <w:pStyle w:val="Szvegtrzs"/>
        <w:spacing w:before="220" w:after="0" w:line="240" w:lineRule="auto"/>
        <w:jc w:val="both"/>
      </w:pPr>
      <w:r>
        <w:t xml:space="preserve">4.1. </w:t>
      </w:r>
      <w:r>
        <w:rPr>
          <w:b/>
          <w:bCs/>
        </w:rPr>
        <w:t xml:space="preserve">„A” övezeti lakás esetén: </w:t>
      </w:r>
      <w:proofErr w:type="gramStart"/>
      <w:r>
        <w:t>2.200</w:t>
      </w:r>
      <w:r>
        <w:rPr>
          <w:b/>
          <w:bCs/>
        </w:rPr>
        <w:t>,-</w:t>
      </w:r>
      <w:proofErr w:type="gramEnd"/>
      <w:r>
        <w:rPr>
          <w:b/>
          <w:bCs/>
        </w:rPr>
        <w:t xml:space="preserve"> Ft/m2/hó.</w:t>
      </w:r>
    </w:p>
    <w:p w14:paraId="65A4E9B4" w14:textId="77777777" w:rsidR="006A7EFF" w:rsidRDefault="003D4EB1">
      <w:pPr>
        <w:pStyle w:val="Szvegtrzs"/>
        <w:spacing w:before="220" w:after="240" w:line="240" w:lineRule="auto"/>
        <w:jc w:val="both"/>
        <w:sectPr w:rsidR="006A7EFF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4.2. </w:t>
      </w:r>
      <w:r>
        <w:rPr>
          <w:b/>
          <w:bCs/>
        </w:rPr>
        <w:t xml:space="preserve">„B” övezeti lakás esetén: </w:t>
      </w:r>
      <w:proofErr w:type="gramStart"/>
      <w:r>
        <w:t>1.800</w:t>
      </w:r>
      <w:r>
        <w:rPr>
          <w:b/>
          <w:bCs/>
        </w:rPr>
        <w:t>,-</w:t>
      </w:r>
      <w:proofErr w:type="gramEnd"/>
      <w:r>
        <w:rPr>
          <w:b/>
          <w:bCs/>
        </w:rPr>
        <w:t xml:space="preserve"> Ft/m2/hó.</w:t>
      </w:r>
      <w:r>
        <w:t>”</w:t>
      </w:r>
    </w:p>
    <w:p w14:paraId="02A69CE0" w14:textId="77777777" w:rsidR="006A7EFF" w:rsidRDefault="006A7EFF">
      <w:pPr>
        <w:pStyle w:val="Szvegtrzs"/>
        <w:spacing w:after="0"/>
        <w:jc w:val="center"/>
      </w:pPr>
    </w:p>
    <w:p w14:paraId="4CDCE1DD" w14:textId="77777777" w:rsidR="006A7EFF" w:rsidRDefault="003D4EB1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50D1C6BC" w14:textId="77777777" w:rsidR="006A7EFF" w:rsidRDefault="003D4EB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és a 2. §-hoz </w:t>
      </w:r>
    </w:p>
    <w:p w14:paraId="1AC1F6E9" w14:textId="77777777" w:rsidR="006A7EFF" w:rsidRDefault="003D4EB1">
      <w:pPr>
        <w:pStyle w:val="Szvegtrzs"/>
        <w:spacing w:after="0" w:line="240" w:lineRule="auto"/>
        <w:jc w:val="both"/>
      </w:pPr>
      <w:r>
        <w:t>Számlázási okokból a bérleti díjat 10 forintra kerekítve indokolt megállapítani, az 1-2. § erre irányuló módosítást tartalmaz.</w:t>
      </w:r>
    </w:p>
    <w:p w14:paraId="1E2A0F9B" w14:textId="77777777" w:rsidR="006A7EFF" w:rsidRDefault="003D4EB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és a 4. §-hoz </w:t>
      </w:r>
    </w:p>
    <w:p w14:paraId="4EA5614F" w14:textId="77777777" w:rsidR="006A7EFF" w:rsidRDefault="003D4EB1">
      <w:pPr>
        <w:pStyle w:val="Szvegtrzs"/>
        <w:spacing w:after="0" w:line="240" w:lineRule="auto"/>
        <w:jc w:val="both"/>
      </w:pPr>
      <w:r>
        <w:t>A szociális helyzet alapján történő bérbeadás lakbérének mértékét tartalmazó 1. melléklet módosítását tartalmazza. Jogszabályszerkesztési szabályoknak való megfelelés miatt a 2.2. pontban rögzített táblázat kiegészül az Emelt I. és Emelt II. megnevezésű szociális bérleti díj megállapítására vonatkozó képlettel, amely korábban a táblázat alatt szöveges formában volt megtalálható.</w:t>
      </w:r>
    </w:p>
    <w:p w14:paraId="3992EFC9" w14:textId="77777777" w:rsidR="006A7EFF" w:rsidRDefault="003D4EB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5. §-hoz </w:t>
      </w:r>
    </w:p>
    <w:p w14:paraId="5505D4ED" w14:textId="77777777" w:rsidR="006A7EFF" w:rsidRDefault="003D4EB1">
      <w:pPr>
        <w:pStyle w:val="Szvegtrzs"/>
        <w:spacing w:before="159" w:after="159" w:line="240" w:lineRule="auto"/>
        <w:ind w:left="159" w:right="159"/>
        <w:jc w:val="both"/>
      </w:pPr>
      <w:r>
        <w:t>A rendelet hatályba lépését szabályozza.</w:t>
      </w:r>
    </w:p>
    <w:sectPr w:rsidR="006A7EFF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DF5A" w14:textId="77777777" w:rsidR="00000000" w:rsidRDefault="003D4EB1">
      <w:r>
        <w:separator/>
      </w:r>
    </w:p>
  </w:endnote>
  <w:endnote w:type="continuationSeparator" w:id="0">
    <w:p w14:paraId="41BB864C" w14:textId="77777777" w:rsidR="00000000" w:rsidRDefault="003D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F868" w14:textId="77777777" w:rsidR="006A7EFF" w:rsidRDefault="003D4EB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3C47" w14:textId="77777777" w:rsidR="006A7EFF" w:rsidRDefault="003D4EB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58F2" w14:textId="77777777" w:rsidR="00000000" w:rsidRDefault="003D4EB1">
      <w:r>
        <w:separator/>
      </w:r>
    </w:p>
  </w:footnote>
  <w:footnote w:type="continuationSeparator" w:id="0">
    <w:p w14:paraId="6BF3FF6E" w14:textId="77777777" w:rsidR="00000000" w:rsidRDefault="003D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A28B1"/>
    <w:multiLevelType w:val="multilevel"/>
    <w:tmpl w:val="B0D6B6D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263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FF"/>
    <w:rsid w:val="003D4EB1"/>
    <w:rsid w:val="006A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ADEC"/>
  <w15:docId w15:val="{F5A35ACB-DE14-4FB0-8062-3D7126AB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3D4EB1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dr.Bartha Enikő</dc:creator>
  <dc:description/>
  <cp:lastModifiedBy>dr.Bartha Enikő</cp:lastModifiedBy>
  <cp:revision>2</cp:revision>
  <dcterms:created xsi:type="dcterms:W3CDTF">2024-02-22T08:58:00Z</dcterms:created>
  <dcterms:modified xsi:type="dcterms:W3CDTF">2024-02-22T08:58:00Z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