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71D1" w14:textId="77777777" w:rsidR="00020CF5" w:rsidRPr="00020CF5" w:rsidRDefault="00020CF5" w:rsidP="00020CF5">
      <w:pPr>
        <w:pStyle w:val="Listaszerbekezds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rPr>
          <w:rFonts w:ascii="Garamond" w:hAnsi="Garamond"/>
          <w:b/>
          <w:bCs/>
          <w:color w:val="000000"/>
          <w:sz w:val="24"/>
          <w:szCs w:val="24"/>
        </w:rPr>
      </w:pPr>
      <w:r w:rsidRPr="00020CF5">
        <w:rPr>
          <w:rFonts w:ascii="Garamond" w:eastAsia="Garamond" w:hAnsi="Garamond" w:cs="Garamond"/>
          <w:b/>
          <w:bCs/>
          <w:color w:val="000000"/>
          <w:sz w:val="24"/>
          <w:szCs w:val="24"/>
        </w:rPr>
        <w:t>sz. melléklet: SZÉSZ módosítás Vt/6 építési övezetre vonatkozó tervezete</w:t>
      </w:r>
    </w:p>
    <w:p w14:paraId="71D45396" w14:textId="77777777" w:rsidR="00020CF5" w:rsidRPr="009A22DC" w:rsidRDefault="00020CF5" w:rsidP="00020CF5">
      <w:pPr>
        <w:rPr>
          <w:rFonts w:ascii="Garamond" w:hAnsi="Garamond"/>
          <w:sz w:val="24"/>
          <w:szCs w:val="24"/>
        </w:rPr>
      </w:pPr>
    </w:p>
    <w:p w14:paraId="79979AA6" w14:textId="77777777" w:rsidR="00020CF5" w:rsidRPr="009A22DC" w:rsidRDefault="00020CF5" w:rsidP="00020CF5">
      <w:pPr>
        <w:spacing w:before="120"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9A22DC">
        <w:rPr>
          <w:rFonts w:ascii="Garamond" w:eastAsia="Times New Roman" w:hAnsi="Garamond" w:cs="Times New Roman"/>
          <w:b/>
          <w:bCs/>
          <w:sz w:val="24"/>
          <w:szCs w:val="24"/>
        </w:rPr>
        <w:t>3. §</w:t>
      </w:r>
      <w:r w:rsidRPr="009A22DC">
        <w:rPr>
          <w:rFonts w:ascii="Garamond" w:eastAsia="Times New Roman" w:hAnsi="Garamond" w:cs="Times New Roman"/>
          <w:sz w:val="24"/>
          <w:szCs w:val="24"/>
        </w:rPr>
        <w:t> (1)   A rendelet alkalmazásában:</w:t>
      </w:r>
    </w:p>
    <w:p w14:paraId="4814C791" w14:textId="77777777" w:rsidR="00020CF5" w:rsidRPr="00600E25" w:rsidRDefault="00020CF5" w:rsidP="00020CF5">
      <w:pPr>
        <w:spacing w:after="0" w:line="240" w:lineRule="auto"/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2. Apartman: Olyan, lakó- vagy szállás jelleggel létesített rendeltetési egység, amely alkalmas szálláshely-szolgáltatás és tartós szálláshasználati szolgáltatás igénybevételén túl a hosszabb idejű tartós életvitel biztosítására is. E célból a rendeltetési egység legalább egy szobával rendelkezik, továbbá a pihenés (alvás), a tisztálkodás, az illemhely helyiségein túl főzési lehetőséget is biztosító helyiséggel, vagy helyiségrésszel is kiegészül (legalább főzésre vagy melegítésre alkalmas berendezés, hűtőszekrény elhelyezhetőséggel).</w:t>
      </w:r>
    </w:p>
    <w:p w14:paraId="6038E9DA" w14:textId="77777777" w:rsidR="00020CF5" w:rsidRPr="00A9017C" w:rsidRDefault="00020CF5" w:rsidP="00020CF5">
      <w:pPr>
        <w:spacing w:before="240" w:after="0" w:line="240" w:lineRule="auto"/>
        <w:jc w:val="center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44.     Vegyes területekre vonatkozó általános rendelkezések</w:t>
      </w:r>
    </w:p>
    <w:p w14:paraId="02704AC8" w14:textId="2030902E" w:rsidR="00020CF5" w:rsidRPr="00A9017C" w:rsidRDefault="00600E25" w:rsidP="00020CF5">
      <w:pPr>
        <w:spacing w:before="120" w:after="20" w:line="240" w:lineRule="auto"/>
        <w:ind w:left="567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1</w:t>
      </w:r>
      <w:r w:rsidR="00020CF5" w:rsidRPr="00A9017C">
        <w:rPr>
          <w:rFonts w:ascii="Garamond" w:eastAsia="Times New Roman" w:hAnsi="Garamond" w:cs="Times New Roman"/>
          <w:b/>
          <w:bCs/>
          <w:sz w:val="24"/>
          <w:szCs w:val="24"/>
        </w:rPr>
        <w:t>45. § </w:t>
      </w:r>
      <w:r w:rsidR="00020CF5" w:rsidRPr="00A9017C">
        <w:rPr>
          <w:rFonts w:ascii="Garamond" w:eastAsia="Times New Roman" w:hAnsi="Garamond" w:cs="Times New Roman"/>
          <w:sz w:val="24"/>
          <w:szCs w:val="24"/>
        </w:rPr>
        <w:t>(1) Vegyes területhasználat a Vt jelű településközpont területe és a Vi</w:t>
      </w:r>
      <w:r w:rsidR="00020CF5" w:rsidRPr="00A9017C">
        <w:rPr>
          <w:rFonts w:ascii="Garamond" w:eastAsia="Times New Roman" w:hAnsi="Garamond" w:cs="Times New Roman"/>
          <w:b/>
          <w:bCs/>
          <w:sz w:val="24"/>
          <w:szCs w:val="24"/>
        </w:rPr>
        <w:t> </w:t>
      </w:r>
      <w:r w:rsidR="00020CF5" w:rsidRPr="00A9017C">
        <w:rPr>
          <w:rFonts w:ascii="Garamond" w:eastAsia="Times New Roman" w:hAnsi="Garamond" w:cs="Times New Roman"/>
          <w:sz w:val="24"/>
          <w:szCs w:val="24"/>
        </w:rPr>
        <w:t>jelű intézményi terület.</w:t>
      </w:r>
    </w:p>
    <w:p w14:paraId="28F1946D" w14:textId="77777777" w:rsidR="00020CF5" w:rsidRPr="00A9017C" w:rsidRDefault="00020CF5" w:rsidP="00020CF5">
      <w:pPr>
        <w:spacing w:before="120" w:after="12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(1)           A vegyes területeken – egyéb övezeti előírás hiányában - a nem lakó főrendeltetésű esetekben a fő rendeltetéshez kapcsolódóan legfeljebb kettő, egyenként 140 m</w:t>
      </w:r>
      <w:r w:rsidRPr="00A9017C">
        <w:rPr>
          <w:rFonts w:ascii="Garamond" w:eastAsia="Times New Roman" w:hAnsi="Garamond" w:cs="Times New Roman"/>
          <w:sz w:val="24"/>
          <w:szCs w:val="24"/>
          <w:vertAlign w:val="superscript"/>
        </w:rPr>
        <w:t>2</w:t>
      </w:r>
      <w:r w:rsidRPr="00A9017C">
        <w:rPr>
          <w:rFonts w:ascii="Garamond" w:eastAsia="Times New Roman" w:hAnsi="Garamond" w:cs="Times New Roman"/>
          <w:sz w:val="24"/>
          <w:szCs w:val="24"/>
        </w:rPr>
        <w:t> alapterületet meg nem haladó lakás alakítható ki.</w:t>
      </w:r>
    </w:p>
    <w:p w14:paraId="56D7F529" w14:textId="77777777" w:rsidR="00020CF5" w:rsidRPr="00A9017C" w:rsidRDefault="00020CF5" w:rsidP="00020CF5">
      <w:pPr>
        <w:spacing w:before="240" w:after="0" w:line="240" w:lineRule="auto"/>
        <w:jc w:val="center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45.     Településközpont terület építési övezeteinek előírásai</w:t>
      </w:r>
    </w:p>
    <w:p w14:paraId="35E51564" w14:textId="77777777" w:rsidR="00020CF5" w:rsidRPr="00A9017C" w:rsidRDefault="00020CF5" w:rsidP="00020CF5">
      <w:pPr>
        <w:spacing w:before="120" w:after="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b/>
          <w:bCs/>
          <w:sz w:val="24"/>
          <w:szCs w:val="24"/>
        </w:rPr>
        <w:t>46. § </w:t>
      </w:r>
      <w:r w:rsidRPr="00A9017C">
        <w:rPr>
          <w:rFonts w:ascii="Garamond" w:eastAsia="Times New Roman" w:hAnsi="Garamond" w:cs="Times New Roman"/>
          <w:sz w:val="24"/>
          <w:szCs w:val="24"/>
        </w:rPr>
        <w:t>(1) A településközpont terület a lakórendeltetésű és olyan települési szintű egyéb rendeltetésű épület elhelyezésére szolgál, amely nincs jelentősen zavaró hatással a lakó rendeltetésre. A nagyvízi meder hullámtéri területén elhelyezkedő telken eltérő övezeti előírás hiányában új lakórendeltetés nem alakítható ki, de megtartható és megújítható a lakórendeltetés a kialakult térméretű 4445 hrsz. és 4437 hrsz. alatti ingatlanok esetében.</w:t>
      </w:r>
    </w:p>
    <w:p w14:paraId="30725B98" w14:textId="77777777" w:rsidR="00020CF5" w:rsidRPr="00A9017C" w:rsidRDefault="00020CF5" w:rsidP="00020CF5">
      <w:pPr>
        <w:spacing w:before="120" w:after="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(2)     A településközpont területen elhelyezhető épület elsősorban a helyi és a járási területen élő lakosságot, valamint a turizmust szolgáló egynél több rendeltetést tartalmazhat, melyben lehet:</w:t>
      </w:r>
    </w:p>
    <w:p w14:paraId="2E30ADE3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a)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egyes övezetekben meghatározott arányban és feltétellel lakó,</w:t>
      </w:r>
    </w:p>
    <w:p w14:paraId="1C8BA4E0" w14:textId="77777777" w:rsidR="00020CF5" w:rsidRPr="00A9017C" w:rsidRDefault="00020CF5" w:rsidP="00020CF5">
      <w:pPr>
        <w:spacing w:before="120" w:after="0" w:line="240" w:lineRule="auto"/>
        <w:ind w:left="992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b)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igazgatási, iroda,</w:t>
      </w:r>
    </w:p>
    <w:p w14:paraId="3440DCD3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c)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 kereskedelmi, szolgáltatás, szállás,</w:t>
      </w:r>
    </w:p>
    <w:p w14:paraId="37644E04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d)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egyéb közösségi szórakoztató rendeltetés olyan területrészen, ahol a közvetlen szomszédságban nincsen lakórendeltetés, valamint ahol a kereskedelmi, szolgáltatói célú használat az elsődleges,</w:t>
      </w:r>
    </w:p>
    <w:p w14:paraId="1E11AE3F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e)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 hitéleti, nevelési, oktatási, egészségügyi, szociális,</w:t>
      </w:r>
    </w:p>
    <w:p w14:paraId="2756629B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f)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  a lakórendeltetésnél megengedett környezeti határértéket meg nem haladó környezeti terhelést jelentő gazdasági,</w:t>
      </w:r>
    </w:p>
    <w:p w14:paraId="3811A53B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g)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kulturális,</w:t>
      </w:r>
    </w:p>
    <w:p w14:paraId="17FCA8DE" w14:textId="77777777" w:rsidR="00020CF5" w:rsidRPr="00A9017C" w:rsidRDefault="00020CF5" w:rsidP="00020CF5">
      <w:pPr>
        <w:spacing w:before="120" w:after="0" w:line="240" w:lineRule="auto"/>
        <w:ind w:left="993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h)</w:t>
      </w:r>
      <w:r w:rsidRPr="00A9017C">
        <w:rPr>
          <w:rFonts w:ascii="Garamond" w:eastAsia="Times New Roman" w:hAnsi="Garamond" w:cs="Times New Roman"/>
          <w:sz w:val="24"/>
          <w:szCs w:val="24"/>
        </w:rPr>
        <w:t>        parkolóház és mélygarázs</w:t>
      </w:r>
    </w:p>
    <w:p w14:paraId="52E71DB8" w14:textId="77777777" w:rsidR="00020CF5" w:rsidRPr="00A9017C" w:rsidRDefault="00020CF5" w:rsidP="00020CF5">
      <w:pPr>
        <w:spacing w:before="120" w:after="0" w:line="240" w:lineRule="auto"/>
        <w:ind w:left="851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rendeltetés.</w:t>
      </w:r>
    </w:p>
    <w:p w14:paraId="076C0A38" w14:textId="77777777" w:rsidR="00020CF5" w:rsidRPr="00A9017C" w:rsidRDefault="00020CF5" w:rsidP="00020CF5">
      <w:pPr>
        <w:spacing w:before="120" w:after="6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(3)     Nem helyezhető el a településközpont területen</w:t>
      </w:r>
    </w:p>
    <w:p w14:paraId="56D0A8CF" w14:textId="77777777" w:rsidR="00020CF5" w:rsidRPr="00A9017C" w:rsidRDefault="00020CF5" w:rsidP="00020CF5">
      <w:pPr>
        <w:spacing w:before="120" w:after="6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a)</w:t>
      </w:r>
      <w:r w:rsidRPr="00A9017C">
        <w:rPr>
          <w:rFonts w:ascii="Garamond" w:eastAsia="Times New Roman" w:hAnsi="Garamond" w:cs="Times New Roman"/>
          <w:sz w:val="24"/>
          <w:szCs w:val="24"/>
        </w:rPr>
        <w:t>    haszonállattartásra alkalmas melléképület,</w:t>
      </w:r>
    </w:p>
    <w:p w14:paraId="1DE8FC52" w14:textId="77777777" w:rsidR="00020CF5" w:rsidRPr="00A9017C" w:rsidRDefault="00020CF5" w:rsidP="00020CF5">
      <w:pPr>
        <w:spacing w:before="120" w:after="6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b)</w:t>
      </w:r>
      <w:r w:rsidRPr="00A9017C">
        <w:rPr>
          <w:rFonts w:ascii="Garamond" w:eastAsia="Times New Roman" w:hAnsi="Garamond" w:cs="Times New Roman"/>
          <w:sz w:val="24"/>
          <w:szCs w:val="24"/>
        </w:rPr>
        <w:t>    üzemanyagtöltő állomás,</w:t>
      </w:r>
    </w:p>
    <w:p w14:paraId="0E249794" w14:textId="77777777" w:rsidR="00020CF5" w:rsidRPr="00A9017C" w:rsidRDefault="00020CF5" w:rsidP="00020CF5">
      <w:pPr>
        <w:spacing w:before="120" w:after="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i/>
          <w:iCs/>
          <w:sz w:val="24"/>
          <w:szCs w:val="24"/>
        </w:rPr>
        <w:t>c)  </w:t>
      </w:r>
      <w:r w:rsidRPr="00A9017C">
        <w:rPr>
          <w:rFonts w:ascii="Garamond" w:eastAsia="Times New Roman" w:hAnsi="Garamond" w:cs="Times New Roman"/>
          <w:sz w:val="24"/>
          <w:szCs w:val="24"/>
        </w:rPr>
        <w:t>a környezetre jelentős hatást gyakorló tevékenységet befogadó épület.</w:t>
      </w:r>
    </w:p>
    <w:p w14:paraId="2CD7CEAD" w14:textId="77777777" w:rsidR="00020CF5" w:rsidRPr="00A9017C" w:rsidRDefault="00020CF5" w:rsidP="00020CF5">
      <w:pPr>
        <w:spacing w:before="120" w:after="12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(4)     A vegyes területek építési övezeteiben – Pismány üdülőterületi részét kivéve - csak teljes közművesítéssel helyezhető el épület olyan módon, hogy a felszíni vizek nyílt árkos elvezetése – szakhatósági hozzájárulással – a zárt csapadékcsatorna kiépítéséig, átmeneti megoldásként megengedett.</w:t>
      </w:r>
    </w:p>
    <w:p w14:paraId="6E208861" w14:textId="77777777" w:rsidR="00020CF5" w:rsidRPr="00A9017C" w:rsidRDefault="00020CF5" w:rsidP="00020CF5">
      <w:pPr>
        <w:spacing w:before="120" w:after="12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(5)     Az építési övezetekben a terepszint alatt önálló építményként gépjárműtároló és közmű-becsatlakozási műtárgy, a terepfelszínen a főépülten kívül hulladéktartály-tároló és kerti építmények építhetők.</w:t>
      </w:r>
    </w:p>
    <w:p w14:paraId="711CE0A7" w14:textId="77777777" w:rsidR="00020CF5" w:rsidRPr="00A9017C" w:rsidRDefault="00020CF5" w:rsidP="00020CF5">
      <w:pPr>
        <w:spacing w:before="120" w:after="120" w:line="240" w:lineRule="auto"/>
        <w:ind w:left="567"/>
        <w:jc w:val="both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 xml:space="preserve">(6)     A településközponti vegyes területen - ahol lakásrendeltetés megengedett – a gépkocsi tárolók által igénybevett alapterületen kívül az összes szintterület legfeljebb 75%-a lehet lakórendeltetés. A közterületi </w:t>
      </w:r>
      <w:r w:rsidRPr="00A9017C">
        <w:rPr>
          <w:rFonts w:ascii="Garamond" w:eastAsia="Times New Roman" w:hAnsi="Garamond" w:cs="Times New Roman"/>
          <w:sz w:val="24"/>
          <w:szCs w:val="24"/>
        </w:rPr>
        <w:lastRenderedPageBreak/>
        <w:t>határtól mért 15,0 m-es sávon belül főútra, gyűjtőútra ajtóval, ablakkal nyíló lakórendeltetés a földszinten nem alakítható ki.</w:t>
      </w:r>
    </w:p>
    <w:p w14:paraId="7BE36AC3" w14:textId="77777777" w:rsidR="00020CF5" w:rsidRPr="00A9017C" w:rsidRDefault="00020CF5" w:rsidP="00020CF5">
      <w:pPr>
        <w:spacing w:before="120" w:after="12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>(7)     A telek területének minden 120 m</w:t>
      </w:r>
      <w:r w:rsidRPr="00A9017C">
        <w:rPr>
          <w:rFonts w:ascii="Garamond" w:eastAsia="Times New Roman" w:hAnsi="Garamond" w:cs="Times New Roman"/>
          <w:sz w:val="24"/>
          <w:szCs w:val="24"/>
          <w:vertAlign w:val="superscript"/>
        </w:rPr>
        <w:t>2</w:t>
      </w:r>
      <w:r w:rsidRPr="00A9017C">
        <w:rPr>
          <w:rFonts w:ascii="Garamond" w:eastAsia="Times New Roman" w:hAnsi="Garamond" w:cs="Times New Roman"/>
          <w:sz w:val="24"/>
          <w:szCs w:val="24"/>
        </w:rPr>
        <w:t>-ére esően legfeljebb egy rendeltetési egység létesíthető.</w:t>
      </w:r>
    </w:p>
    <w:p w14:paraId="5E83C408" w14:textId="77777777" w:rsidR="00020CF5" w:rsidRPr="009A22DC" w:rsidRDefault="00020CF5" w:rsidP="00020CF5">
      <w:pPr>
        <w:spacing w:after="0" w:line="240" w:lineRule="auto"/>
        <w:ind w:left="567"/>
        <w:rPr>
          <w:rFonts w:ascii="Garamond" w:eastAsia="Times New Roman" w:hAnsi="Garamond"/>
          <w:sz w:val="24"/>
          <w:szCs w:val="24"/>
        </w:rPr>
      </w:pPr>
      <w:r w:rsidRPr="00A9017C">
        <w:rPr>
          <w:rFonts w:ascii="Garamond" w:eastAsia="Times New Roman" w:hAnsi="Garamond" w:cs="Times New Roman"/>
          <w:sz w:val="24"/>
          <w:szCs w:val="24"/>
        </w:rPr>
        <w:t xml:space="preserve">(8)     A településközponti vegyes terület övezeteinek és építési övezeteinek paraméterei a 3. melléklet 5. </w:t>
      </w:r>
      <w:r w:rsidRPr="009A22DC">
        <w:rPr>
          <w:rFonts w:ascii="Garamond" w:eastAsia="Times New Roman" w:hAnsi="Garamond" w:cs="Times New Roman"/>
          <w:sz w:val="24"/>
          <w:szCs w:val="24"/>
        </w:rPr>
        <w:t>pontjában szerepelnek.</w:t>
      </w:r>
    </w:p>
    <w:p w14:paraId="0004573A" w14:textId="77777777" w:rsidR="00020CF5" w:rsidRPr="00600E25" w:rsidRDefault="00020CF5" w:rsidP="00020CF5">
      <w:pPr>
        <w:spacing w:before="120" w:after="120" w:line="240" w:lineRule="auto"/>
        <w:ind w:left="567"/>
        <w:rPr>
          <w:rFonts w:ascii="Garamond" w:eastAsia="Times New Roman" w:hAnsi="Garamond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(10a) A Vt/6 jelű övezetben műemléki védelem alatt álló telken </w:t>
      </w:r>
    </w:p>
    <w:p w14:paraId="41930A43" w14:textId="77777777" w:rsidR="00020CF5" w:rsidRPr="00600E25" w:rsidRDefault="00020CF5" w:rsidP="00020CF5">
      <w:pPr>
        <w:spacing w:before="120" w:after="120" w:line="240" w:lineRule="auto"/>
        <w:ind w:left="1167"/>
        <w:rPr>
          <w:rFonts w:ascii="Garamond" w:eastAsia="Times New Roman" w:hAnsi="Garamond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(a) lakás rendeltetés, valamint </w:t>
      </w:r>
    </w:p>
    <w:p w14:paraId="40FD7D0A" w14:textId="77777777" w:rsidR="00020CF5" w:rsidRPr="00600E25" w:rsidRDefault="00020CF5" w:rsidP="00020CF5">
      <w:pPr>
        <w:spacing w:before="120" w:after="120" w:line="240" w:lineRule="auto"/>
        <w:ind w:left="1167"/>
        <w:rPr>
          <w:rFonts w:ascii="Garamond" w:eastAsia="Times New Roman" w:hAnsi="Garamond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(b) önálló rendeltetési egységként apartmanok</w:t>
      </w:r>
    </w:p>
    <w:p w14:paraId="57B2C205" w14:textId="77777777" w:rsidR="00020CF5" w:rsidRPr="00600E25" w:rsidRDefault="00020CF5" w:rsidP="00020CF5">
      <w:pPr>
        <w:spacing w:before="120" w:after="120" w:line="240" w:lineRule="auto"/>
        <w:ind w:left="1167"/>
        <w:rPr>
          <w:rFonts w:ascii="Garamond" w:eastAsia="Times New Roman" w:hAnsi="Garamond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nem létesíthetők.</w:t>
      </w:r>
    </w:p>
    <w:p w14:paraId="15921560" w14:textId="384A8641" w:rsidR="00020CF5" w:rsidRPr="00600E25" w:rsidRDefault="00020CF5" w:rsidP="004A3A1D">
      <w:pPr>
        <w:spacing w:before="120" w:after="120" w:line="240" w:lineRule="auto"/>
        <w:ind w:left="567"/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</w:pPr>
      <w:r w:rsidRPr="00600E25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  (10b) A Vt/6 jelű övezetben műemléki védelem alatt álló telek nem osztható meg.</w:t>
      </w:r>
    </w:p>
    <w:p w14:paraId="1E0D3AAA" w14:textId="77777777" w:rsidR="004A3A1D" w:rsidRPr="004A3A1D" w:rsidRDefault="004A3A1D" w:rsidP="004A3A1D">
      <w:pPr>
        <w:spacing w:before="120" w:after="120" w:line="240" w:lineRule="auto"/>
        <w:ind w:left="567"/>
        <w:rPr>
          <w:rFonts w:ascii="Garamond" w:eastAsia="Times New Roman" w:hAnsi="Garamond" w:cs="Times New Roman"/>
          <w:sz w:val="24"/>
          <w:szCs w:val="24"/>
        </w:rPr>
      </w:pPr>
    </w:p>
    <w:p w14:paraId="204AC1B1" w14:textId="77777777" w:rsidR="00020CF5" w:rsidRPr="00A9017C" w:rsidRDefault="00020CF5" w:rsidP="00020CF5">
      <w:pPr>
        <w:spacing w:after="0" w:line="240" w:lineRule="auto"/>
        <w:ind w:left="1134" w:hanging="1134"/>
        <w:rPr>
          <w:rFonts w:ascii="Garamond" w:hAnsi="Garamond" w:cs="Times New Roman"/>
          <w:b/>
          <w:bCs/>
          <w:i/>
          <w:sz w:val="24"/>
          <w:szCs w:val="24"/>
        </w:rPr>
      </w:pPr>
      <w:r w:rsidRPr="00A9017C">
        <w:rPr>
          <w:rFonts w:ascii="Garamond" w:hAnsi="Garamond" w:cs="Times New Roman"/>
          <w:b/>
          <w:bCs/>
          <w:i/>
          <w:sz w:val="24"/>
          <w:szCs w:val="24"/>
        </w:rPr>
        <w:t>3. melléklet</w:t>
      </w:r>
      <w:r w:rsidRPr="00A9017C">
        <w:rPr>
          <w:rFonts w:ascii="Garamond" w:hAnsi="Garamond" w:cs="Times New Roman"/>
          <w:b/>
          <w:bCs/>
          <w:i/>
          <w:sz w:val="24"/>
          <w:szCs w:val="24"/>
        </w:rPr>
        <w:tab/>
        <w:t xml:space="preserve">Szentendre Építési Szabályzatáról szóló </w:t>
      </w:r>
      <w:r w:rsidRPr="00A9017C">
        <w:rPr>
          <w:rFonts w:ascii="Garamond" w:hAnsi="Garamond" w:cs="Times New Roman"/>
          <w:b/>
          <w:i/>
          <w:sz w:val="24"/>
          <w:szCs w:val="24"/>
        </w:rPr>
        <w:t>26</w:t>
      </w:r>
      <w:r w:rsidRPr="00A9017C">
        <w:rPr>
          <w:rFonts w:ascii="Garamond" w:hAnsi="Garamond" w:cs="Times New Roman"/>
          <w:b/>
          <w:bCs/>
          <w:i/>
          <w:sz w:val="24"/>
          <w:szCs w:val="24"/>
        </w:rPr>
        <w:t>/2017. (</w:t>
      </w:r>
      <w:r w:rsidRPr="00A9017C">
        <w:rPr>
          <w:rFonts w:ascii="Garamond" w:hAnsi="Garamond" w:cs="Times New Roman"/>
          <w:b/>
          <w:i/>
          <w:sz w:val="24"/>
          <w:szCs w:val="24"/>
        </w:rPr>
        <w:t xml:space="preserve">VII.31.) önkormányzati </w:t>
      </w:r>
      <w:r w:rsidRPr="00A9017C">
        <w:rPr>
          <w:rFonts w:ascii="Garamond" w:hAnsi="Garamond" w:cs="Times New Roman"/>
          <w:b/>
          <w:bCs/>
          <w:i/>
          <w:sz w:val="24"/>
          <w:szCs w:val="24"/>
        </w:rPr>
        <w:t>rendelethez</w:t>
      </w:r>
    </w:p>
    <w:p w14:paraId="6EF57785" w14:textId="77777777" w:rsidR="00020CF5" w:rsidRPr="00A9017C" w:rsidRDefault="00020CF5" w:rsidP="00020CF5">
      <w:pPr>
        <w:spacing w:after="0" w:line="240" w:lineRule="auto"/>
        <w:rPr>
          <w:rFonts w:ascii="Garamond" w:hAnsi="Garamond" w:cs="Times New Roman"/>
          <w:b/>
          <w:bCs/>
          <w:i/>
          <w:sz w:val="24"/>
          <w:szCs w:val="24"/>
        </w:rPr>
      </w:pPr>
    </w:p>
    <w:p w14:paraId="59F70973" w14:textId="77777777" w:rsidR="00020CF5" w:rsidRPr="00A9017C" w:rsidRDefault="00020CF5" w:rsidP="00020CF5">
      <w:pPr>
        <w:spacing w:after="0" w:line="240" w:lineRule="auto"/>
        <w:jc w:val="center"/>
        <w:rPr>
          <w:rFonts w:ascii="Garamond" w:hAnsi="Garamond" w:cs="Times New Roman"/>
          <w:b/>
          <w:bCs/>
          <w:caps/>
          <w:sz w:val="24"/>
          <w:szCs w:val="24"/>
        </w:rPr>
      </w:pPr>
      <w:r w:rsidRPr="00A9017C">
        <w:rPr>
          <w:rFonts w:ascii="Garamond" w:hAnsi="Garamond" w:cs="Times New Roman"/>
          <w:b/>
          <w:bCs/>
          <w:caps/>
          <w:sz w:val="24"/>
          <w:szCs w:val="24"/>
        </w:rPr>
        <w:t>Építési övezetek és övezetek paramétertáblázatai</w:t>
      </w:r>
    </w:p>
    <w:p w14:paraId="75325C69" w14:textId="77777777" w:rsidR="00020CF5" w:rsidRPr="00A9017C" w:rsidRDefault="00020CF5" w:rsidP="00020CF5">
      <w:pPr>
        <w:tabs>
          <w:tab w:val="left" w:pos="567"/>
        </w:tabs>
        <w:spacing w:before="120" w:after="0" w:line="240" w:lineRule="auto"/>
        <w:rPr>
          <w:rFonts w:ascii="Garamond" w:hAnsi="Garamond" w:cs="Times New Roman"/>
          <w:b/>
          <w:iCs/>
          <w:caps/>
          <w:sz w:val="24"/>
          <w:szCs w:val="24"/>
        </w:rPr>
      </w:pPr>
    </w:p>
    <w:p w14:paraId="28102DF8" w14:textId="77777777" w:rsidR="00020CF5" w:rsidRPr="00A9017C" w:rsidRDefault="00020CF5" w:rsidP="00020CF5">
      <w:pPr>
        <w:tabs>
          <w:tab w:val="left" w:pos="567"/>
        </w:tabs>
        <w:spacing w:before="120" w:after="0" w:line="240" w:lineRule="auto"/>
        <w:rPr>
          <w:rFonts w:ascii="Garamond" w:hAnsi="Garamond" w:cs="Times New Roman"/>
          <w:i/>
          <w:iCs/>
          <w:caps/>
          <w:sz w:val="24"/>
          <w:szCs w:val="24"/>
        </w:rPr>
      </w:pPr>
      <w:r w:rsidRPr="00A9017C">
        <w:rPr>
          <w:rFonts w:ascii="Garamond" w:hAnsi="Garamond" w:cs="Times New Roman"/>
          <w:b/>
          <w:iCs/>
          <w:caps/>
          <w:sz w:val="24"/>
          <w:szCs w:val="24"/>
        </w:rPr>
        <w:t>5. Településközpont terület</w:t>
      </w:r>
    </w:p>
    <w:p w14:paraId="0FC04675" w14:textId="77777777" w:rsidR="00020CF5" w:rsidRPr="00A9017C" w:rsidRDefault="00020CF5" w:rsidP="00020CF5">
      <w:pPr>
        <w:tabs>
          <w:tab w:val="left" w:pos="567"/>
        </w:tabs>
        <w:spacing w:after="0" w:line="240" w:lineRule="auto"/>
        <w:jc w:val="right"/>
        <w:rPr>
          <w:rFonts w:ascii="Garamond" w:hAnsi="Garamond" w:cs="Times New Roman"/>
          <w:i/>
          <w:iCs/>
          <w:caps/>
          <w:sz w:val="24"/>
          <w:szCs w:val="24"/>
        </w:rPr>
      </w:pPr>
      <w:r w:rsidRPr="00A9017C">
        <w:rPr>
          <w:rFonts w:ascii="Garamond" w:hAnsi="Garamond" w:cs="Times New Roman"/>
          <w:i/>
          <w:iCs/>
          <w:sz w:val="24"/>
          <w:szCs w:val="24"/>
        </w:rPr>
        <w:t>4. sz. táblázat</w:t>
      </w:r>
    </w:p>
    <w:tbl>
      <w:tblPr>
        <w:tblpPr w:leftFromText="141" w:rightFromText="141" w:vertAnchor="text" w:horzAnchor="margin" w:tblpXSpec="center" w:tblpY="146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34"/>
        <w:gridCol w:w="675"/>
        <w:gridCol w:w="987"/>
        <w:gridCol w:w="808"/>
        <w:gridCol w:w="1034"/>
        <w:gridCol w:w="761"/>
        <w:gridCol w:w="804"/>
        <w:gridCol w:w="992"/>
        <w:gridCol w:w="2120"/>
      </w:tblGrid>
      <w:tr w:rsidR="00020CF5" w:rsidRPr="00A9017C" w14:paraId="73FC0D22" w14:textId="77777777" w:rsidTr="00AD489D">
        <w:trPr>
          <w:cantSplit/>
          <w:trHeight w:val="271"/>
        </w:trPr>
        <w:tc>
          <w:tcPr>
            <w:tcW w:w="5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BB54B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46E053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18C770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A7F41F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C</w:t>
            </w:r>
          </w:p>
        </w:tc>
        <w:tc>
          <w:tcPr>
            <w:tcW w:w="8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4D1A56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F81D41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E</w:t>
            </w: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86E914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F</w:t>
            </w:r>
          </w:p>
        </w:tc>
        <w:tc>
          <w:tcPr>
            <w:tcW w:w="8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A89362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2B0A36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H</w:t>
            </w:r>
          </w:p>
        </w:tc>
        <w:tc>
          <w:tcPr>
            <w:tcW w:w="2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33C43D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I</w:t>
            </w:r>
          </w:p>
        </w:tc>
      </w:tr>
      <w:tr w:rsidR="00020CF5" w:rsidRPr="00A9017C" w14:paraId="4FB5BC0D" w14:textId="77777777" w:rsidTr="00AD489D">
        <w:trPr>
          <w:cantSplit/>
          <w:trHeight w:val="271"/>
        </w:trPr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90BB4E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6E63BE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Az építési övezet</w:t>
            </w:r>
          </w:p>
        </w:tc>
        <w:tc>
          <w:tcPr>
            <w:tcW w:w="4394" w:type="dxa"/>
            <w:gridSpan w:val="5"/>
            <w:tcBorders>
              <w:top w:val="double" w:sz="4" w:space="0" w:color="auto"/>
            </w:tcBorders>
            <w:vAlign w:val="center"/>
          </w:tcPr>
          <w:p w14:paraId="03F56A03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Az építési telek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8F09D79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Az épület</w:t>
            </w: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1D6277D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Megjegyzés</w:t>
            </w:r>
          </w:p>
        </w:tc>
      </w:tr>
      <w:tr w:rsidR="00020CF5" w:rsidRPr="00A9017C" w14:paraId="704EFCB9" w14:textId="77777777" w:rsidTr="00AD489D">
        <w:trPr>
          <w:cantSplit/>
          <w:trHeight w:val="1956"/>
        </w:trPr>
        <w:tc>
          <w:tcPr>
            <w:tcW w:w="568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FC302B" w14:textId="77777777" w:rsidR="00020CF5" w:rsidRPr="00A9017C" w:rsidRDefault="00020CF5" w:rsidP="00AD489D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AD09540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Építési övezet jele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1EFA717F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Beépítés módja</w:t>
            </w:r>
          </w:p>
        </w:tc>
        <w:tc>
          <w:tcPr>
            <w:tcW w:w="987" w:type="dxa"/>
            <w:textDirection w:val="btLr"/>
            <w:vAlign w:val="center"/>
          </w:tcPr>
          <w:p w14:paraId="08E0E64A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Kialakítható telek legkisebb területe</w:t>
            </w:r>
          </w:p>
        </w:tc>
        <w:tc>
          <w:tcPr>
            <w:tcW w:w="808" w:type="dxa"/>
            <w:textDirection w:val="btLr"/>
            <w:vAlign w:val="center"/>
          </w:tcPr>
          <w:p w14:paraId="36EF4D7F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Beépítettség megengedett legnagyobb mértéke</w:t>
            </w:r>
          </w:p>
        </w:tc>
        <w:tc>
          <w:tcPr>
            <w:tcW w:w="1034" w:type="dxa"/>
            <w:textDirection w:val="btLr"/>
            <w:vAlign w:val="center"/>
          </w:tcPr>
          <w:p w14:paraId="157CC5D9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Terepszint alatti építés mértéke </w:t>
            </w:r>
          </w:p>
        </w:tc>
        <w:tc>
          <w:tcPr>
            <w:tcW w:w="761" w:type="dxa"/>
            <w:textDirection w:val="btLr"/>
            <w:vAlign w:val="center"/>
          </w:tcPr>
          <w:p w14:paraId="6EBEDEF6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Terepszint alatti építés helye</w:t>
            </w:r>
          </w:p>
        </w:tc>
        <w:tc>
          <w:tcPr>
            <w:tcW w:w="804" w:type="dxa"/>
            <w:textDirection w:val="btLr"/>
            <w:vAlign w:val="center"/>
          </w:tcPr>
          <w:p w14:paraId="2B7C67FF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Zöldfelület legkisebb mértéke</w:t>
            </w:r>
          </w:p>
        </w:tc>
        <w:tc>
          <w:tcPr>
            <w:tcW w:w="992" w:type="dxa"/>
            <w:textDirection w:val="btLr"/>
            <w:vAlign w:val="center"/>
          </w:tcPr>
          <w:p w14:paraId="5EAE7960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Az épületmagasság legnagyobb értéke</w:t>
            </w:r>
          </w:p>
        </w:tc>
        <w:tc>
          <w:tcPr>
            <w:tcW w:w="2120" w:type="dxa"/>
            <w:vMerge/>
            <w:textDirection w:val="btLr"/>
            <w:vAlign w:val="center"/>
          </w:tcPr>
          <w:p w14:paraId="66734C9C" w14:textId="77777777" w:rsidR="00020CF5" w:rsidRPr="00A9017C" w:rsidRDefault="00020CF5" w:rsidP="00AD489D">
            <w:pPr>
              <w:spacing w:after="0" w:line="240" w:lineRule="auto"/>
              <w:ind w:left="113" w:right="113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</w:tr>
      <w:tr w:rsidR="00020CF5" w:rsidRPr="00A9017C" w14:paraId="1BC36397" w14:textId="77777777" w:rsidTr="00AD489D">
        <w:trPr>
          <w:trHeight w:val="250"/>
        </w:trPr>
        <w:tc>
          <w:tcPr>
            <w:tcW w:w="56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22F4F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1DA4F9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34E8B92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174D32D7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(m</w:t>
            </w: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07A42193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14:paraId="3EA8B21C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68C5AE5E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02BF2FF5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(%)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B9F7B61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i/>
                <w:iCs/>
                <w:sz w:val="24"/>
                <w:szCs w:val="24"/>
              </w:rPr>
              <w:t>(m)</w:t>
            </w: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vAlign w:val="center"/>
          </w:tcPr>
          <w:p w14:paraId="304D2CFB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20CF5" w:rsidRPr="00A9017C" w14:paraId="5A45B3FF" w14:textId="77777777" w:rsidTr="00AD489D"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31D0597E" w14:textId="77777777" w:rsidR="00020CF5" w:rsidRPr="00A9017C" w:rsidRDefault="00020CF5" w:rsidP="00AD489D">
            <w:pPr>
              <w:spacing w:after="6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106151C" w14:textId="77777777" w:rsidR="00020CF5" w:rsidRPr="00A9017C" w:rsidRDefault="00020CF5" w:rsidP="00AD489D">
            <w:pPr>
              <w:spacing w:after="6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b/>
                <w:bCs/>
                <w:sz w:val="24"/>
                <w:szCs w:val="24"/>
              </w:rPr>
              <w:t>Vt/6</w:t>
            </w:r>
          </w:p>
        </w:tc>
        <w:tc>
          <w:tcPr>
            <w:tcW w:w="709" w:type="dxa"/>
            <w:gridSpan w:val="2"/>
            <w:vAlign w:val="center"/>
          </w:tcPr>
          <w:p w14:paraId="0164A0F4" w14:textId="77777777" w:rsidR="00020CF5" w:rsidRPr="00A9017C" w:rsidRDefault="00020CF5" w:rsidP="00AD489D">
            <w:pPr>
              <w:spacing w:after="6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O/SZ</w:t>
            </w:r>
          </w:p>
        </w:tc>
        <w:tc>
          <w:tcPr>
            <w:tcW w:w="987" w:type="dxa"/>
            <w:vAlign w:val="center"/>
          </w:tcPr>
          <w:p w14:paraId="0C7F5296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1.000</w:t>
            </w:r>
          </w:p>
        </w:tc>
        <w:tc>
          <w:tcPr>
            <w:tcW w:w="808" w:type="dxa"/>
            <w:vAlign w:val="center"/>
          </w:tcPr>
          <w:p w14:paraId="0B9002D6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 w14:paraId="2EC98F84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35</w:t>
            </w:r>
          </w:p>
        </w:tc>
        <w:tc>
          <w:tcPr>
            <w:tcW w:w="761" w:type="dxa"/>
            <w:vAlign w:val="center"/>
          </w:tcPr>
          <w:p w14:paraId="05938CE4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Éh</w:t>
            </w:r>
          </w:p>
        </w:tc>
        <w:tc>
          <w:tcPr>
            <w:tcW w:w="804" w:type="dxa"/>
            <w:vAlign w:val="center"/>
          </w:tcPr>
          <w:p w14:paraId="0890BF11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33FE9BCC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017C">
              <w:rPr>
                <w:rFonts w:ascii="Garamond" w:hAnsi="Garamond" w:cs="Times New Roman"/>
                <w:sz w:val="24"/>
                <w:szCs w:val="24"/>
              </w:rPr>
              <w:t>7,5</w:t>
            </w:r>
          </w:p>
        </w:tc>
        <w:tc>
          <w:tcPr>
            <w:tcW w:w="2120" w:type="dxa"/>
            <w:vAlign w:val="center"/>
          </w:tcPr>
          <w:p w14:paraId="49ABAE2C" w14:textId="77777777" w:rsidR="00020CF5" w:rsidRPr="00A9017C" w:rsidRDefault="00020CF5" w:rsidP="00AD489D">
            <w:pPr>
              <w:spacing w:after="0" w:line="240" w:lineRule="auto"/>
              <w:jc w:val="center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</w:p>
        </w:tc>
      </w:tr>
    </w:tbl>
    <w:p w14:paraId="3F173646" w14:textId="77777777" w:rsidR="00020CF5" w:rsidRPr="003A676C" w:rsidRDefault="00020CF5" w:rsidP="00020CF5">
      <w:pPr>
        <w:rPr>
          <w:rFonts w:ascii="Garamond" w:hAnsi="Garamond"/>
        </w:rPr>
      </w:pPr>
    </w:p>
    <w:p w14:paraId="2FCC7FD2" w14:textId="77777777" w:rsidR="00020CF5" w:rsidRDefault="00020CF5"/>
    <w:sectPr w:rsidR="00020CF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67B7"/>
    <w:multiLevelType w:val="multilevel"/>
    <w:tmpl w:val="28C8D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F5"/>
    <w:rsid w:val="00020CF5"/>
    <w:rsid w:val="004A3A1D"/>
    <w:rsid w:val="00600E25"/>
    <w:rsid w:val="008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3B59"/>
  <w15:chartTrackingRefBased/>
  <w15:docId w15:val="{B4DCB136-6057-421B-AA00-3A43E45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20CF5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szerű bekezdés 1,List Paragraph,Welt L Char,Welt L,Bullet List,FooterText,numbered,Paragraphe de liste1,Bulletr List Paragraph,列出段落,列出段落1,Listeafsnit1,Parágrafo da Lista1,List Paragraph2,List Paragraph21"/>
    <w:basedOn w:val="Norml"/>
    <w:link w:val="ListaszerbekezdsChar"/>
    <w:uiPriority w:val="34"/>
    <w:qFormat/>
    <w:rsid w:val="00020C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szerű bekezdés 1 Char,List Paragraph Char,Welt L Char Char,Welt L Char1,Bullet List Char,FooterText Char,numbered Char,Paragraphe de liste1 Char,Bulletr List Paragraph Char,列出段落 Char,列出段落1 Char"/>
    <w:basedOn w:val="Bekezdsalapbettpusa"/>
    <w:link w:val="Listaszerbekezds"/>
    <w:uiPriority w:val="34"/>
    <w:locked/>
    <w:rsid w:val="00020CF5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Gabay Anett</dc:creator>
  <cp:keywords/>
  <dc:description/>
  <cp:lastModifiedBy>Gabay Anett</cp:lastModifiedBy>
  <cp:revision>3</cp:revision>
  <cp:lastPrinted>2021-05-05T09:30:00Z</cp:lastPrinted>
  <dcterms:created xsi:type="dcterms:W3CDTF">2021-05-05T08:51:00Z</dcterms:created>
  <dcterms:modified xsi:type="dcterms:W3CDTF">2021-05-05T09:42:00Z</dcterms:modified>
</cp:coreProperties>
</file>