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D71D1" w14:textId="77777777" w:rsidR="00020CF5" w:rsidRPr="00020CF5" w:rsidRDefault="00020CF5" w:rsidP="00020CF5">
      <w:pPr>
        <w:pStyle w:val="Listaszerbekezds"/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27"/>
        <w:rPr>
          <w:rFonts w:ascii="Garamond" w:hAnsi="Garamond"/>
          <w:b/>
          <w:bCs/>
          <w:color w:val="000000"/>
          <w:sz w:val="24"/>
          <w:szCs w:val="24"/>
        </w:rPr>
      </w:pPr>
      <w:r w:rsidRPr="00020CF5">
        <w:rPr>
          <w:rFonts w:ascii="Garamond" w:eastAsia="Garamond" w:hAnsi="Garamond" w:cs="Garamond"/>
          <w:b/>
          <w:bCs/>
          <w:color w:val="000000"/>
          <w:sz w:val="24"/>
          <w:szCs w:val="24"/>
        </w:rPr>
        <w:t>sz. melléklet: SZÉSZ módosítás Vt/6 építési övezetre vonatkozó tervezete</w:t>
      </w:r>
    </w:p>
    <w:p w14:paraId="71D45396" w14:textId="77777777" w:rsidR="00020CF5" w:rsidRPr="009A22DC" w:rsidRDefault="00020CF5" w:rsidP="00020CF5">
      <w:pPr>
        <w:rPr>
          <w:rFonts w:ascii="Garamond" w:hAnsi="Garamond"/>
          <w:sz w:val="24"/>
          <w:szCs w:val="24"/>
        </w:rPr>
      </w:pPr>
    </w:p>
    <w:p w14:paraId="79979AA6" w14:textId="77777777" w:rsidR="00020CF5" w:rsidRPr="009A22DC" w:rsidRDefault="00020CF5" w:rsidP="00020CF5">
      <w:pPr>
        <w:spacing w:before="120" w:after="0" w:line="240" w:lineRule="auto"/>
        <w:jc w:val="both"/>
        <w:rPr>
          <w:rFonts w:ascii="Garamond" w:eastAsia="Times New Roman" w:hAnsi="Garamond"/>
          <w:sz w:val="24"/>
          <w:szCs w:val="24"/>
        </w:rPr>
      </w:pPr>
      <w:r w:rsidRPr="009A22DC">
        <w:rPr>
          <w:rFonts w:ascii="Garamond" w:eastAsia="Times New Roman" w:hAnsi="Garamond" w:cs="Times New Roman"/>
          <w:b/>
          <w:bCs/>
          <w:sz w:val="24"/>
          <w:szCs w:val="24"/>
        </w:rPr>
        <w:t>3. §</w:t>
      </w:r>
      <w:r w:rsidRPr="009A22DC">
        <w:rPr>
          <w:rFonts w:ascii="Garamond" w:eastAsia="Times New Roman" w:hAnsi="Garamond" w:cs="Times New Roman"/>
          <w:sz w:val="24"/>
          <w:szCs w:val="24"/>
        </w:rPr>
        <w:t> (1)   A rendelet alkalmazásában:</w:t>
      </w:r>
    </w:p>
    <w:p w14:paraId="4814C791" w14:textId="77777777" w:rsidR="00020CF5" w:rsidRPr="00600E25" w:rsidRDefault="00020CF5" w:rsidP="00020CF5">
      <w:pPr>
        <w:spacing w:after="0" w:line="240" w:lineRule="auto"/>
        <w:rPr>
          <w:rFonts w:ascii="Garamond" w:eastAsia="Times New Roman" w:hAnsi="Garamond" w:cs="Times New Roman"/>
          <w:b/>
          <w:bCs/>
          <w:i/>
          <w:iCs/>
          <w:sz w:val="24"/>
          <w:szCs w:val="24"/>
        </w:rPr>
      </w:pPr>
      <w:r w:rsidRPr="00600E25">
        <w:rPr>
          <w:rFonts w:ascii="Garamond" w:eastAsia="Times New Roman" w:hAnsi="Garamond" w:cs="Times New Roman"/>
          <w:b/>
          <w:bCs/>
          <w:i/>
          <w:iCs/>
          <w:sz w:val="24"/>
          <w:szCs w:val="24"/>
        </w:rPr>
        <w:t>2. Apartman: Olyan, lakó- vagy szállás jelleggel létesített rendeltetési egység, amely alkalmas szálláshely-szolgáltatás és tartós szálláshasználati szolgáltatás igénybevételén túl a hosszabb idejű tartós életvitel biztosítására is. E célból a rendeltetési egység legalább egy szobával rendelkezik, továbbá a pihenés (alvás), a tisztálkodás, az illemhely helyiségein túl főzési lehetőséget is biztosító helyiséggel, vagy helyiségrésszel is kiegészül (legalább főzésre vagy melegítésre alkalmas berendezés, hűtőszekrény elhelyezhetőséggel).</w:t>
      </w:r>
    </w:p>
    <w:p w14:paraId="6038E9DA" w14:textId="77777777" w:rsidR="00020CF5" w:rsidRPr="00A9017C" w:rsidRDefault="00020CF5" w:rsidP="00020CF5">
      <w:pPr>
        <w:spacing w:before="240" w:after="0" w:line="240" w:lineRule="auto"/>
        <w:jc w:val="center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i/>
          <w:iCs/>
          <w:sz w:val="24"/>
          <w:szCs w:val="24"/>
        </w:rPr>
        <w:t>44.     Vegyes területekre vonatkozó általános rendelkezések</w:t>
      </w:r>
    </w:p>
    <w:p w14:paraId="02704AC8" w14:textId="2030902E" w:rsidR="00020CF5" w:rsidRPr="00A9017C" w:rsidRDefault="00600E25" w:rsidP="00020CF5">
      <w:pPr>
        <w:spacing w:before="120" w:after="20" w:line="240" w:lineRule="auto"/>
        <w:ind w:left="567"/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sz w:val="24"/>
          <w:szCs w:val="24"/>
        </w:rPr>
        <w:t>1</w:t>
      </w:r>
      <w:r w:rsidR="00020CF5" w:rsidRPr="00A9017C">
        <w:rPr>
          <w:rFonts w:ascii="Garamond" w:eastAsia="Times New Roman" w:hAnsi="Garamond" w:cs="Times New Roman"/>
          <w:b/>
          <w:bCs/>
          <w:sz w:val="24"/>
          <w:szCs w:val="24"/>
        </w:rPr>
        <w:t>45. § </w:t>
      </w:r>
      <w:r w:rsidR="00020CF5" w:rsidRPr="00A9017C">
        <w:rPr>
          <w:rFonts w:ascii="Garamond" w:eastAsia="Times New Roman" w:hAnsi="Garamond" w:cs="Times New Roman"/>
          <w:sz w:val="24"/>
          <w:szCs w:val="24"/>
        </w:rPr>
        <w:t>(1) Vegyes területhasználat a Vt jelű településközpont területe és a Vi</w:t>
      </w:r>
      <w:r w:rsidR="00020CF5" w:rsidRPr="00A9017C">
        <w:rPr>
          <w:rFonts w:ascii="Garamond" w:eastAsia="Times New Roman" w:hAnsi="Garamond" w:cs="Times New Roman"/>
          <w:b/>
          <w:bCs/>
          <w:sz w:val="24"/>
          <w:szCs w:val="24"/>
        </w:rPr>
        <w:t> </w:t>
      </w:r>
      <w:r w:rsidR="00020CF5" w:rsidRPr="00A9017C">
        <w:rPr>
          <w:rFonts w:ascii="Garamond" w:eastAsia="Times New Roman" w:hAnsi="Garamond" w:cs="Times New Roman"/>
          <w:sz w:val="24"/>
          <w:szCs w:val="24"/>
        </w:rPr>
        <w:t>jelű intézményi terület.</w:t>
      </w:r>
    </w:p>
    <w:p w14:paraId="28F1946D" w14:textId="77777777" w:rsidR="00020CF5" w:rsidRPr="00A9017C" w:rsidRDefault="00020CF5" w:rsidP="00020CF5">
      <w:pPr>
        <w:spacing w:before="120" w:after="120" w:line="240" w:lineRule="auto"/>
        <w:ind w:left="567"/>
        <w:jc w:val="both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sz w:val="24"/>
          <w:szCs w:val="24"/>
        </w:rPr>
        <w:t>(1)           A vegyes területeken – egyéb övezeti előírás hiányában - a nem lakó főrendeltetésű esetekben a fő rendeltetéshez kapcsolódóan legfeljebb kettő, egyenként 140 m</w:t>
      </w:r>
      <w:r w:rsidRPr="00A9017C">
        <w:rPr>
          <w:rFonts w:ascii="Garamond" w:eastAsia="Times New Roman" w:hAnsi="Garamond" w:cs="Times New Roman"/>
          <w:sz w:val="24"/>
          <w:szCs w:val="24"/>
          <w:vertAlign w:val="superscript"/>
        </w:rPr>
        <w:t>2</w:t>
      </w:r>
      <w:r w:rsidRPr="00A9017C">
        <w:rPr>
          <w:rFonts w:ascii="Garamond" w:eastAsia="Times New Roman" w:hAnsi="Garamond" w:cs="Times New Roman"/>
          <w:sz w:val="24"/>
          <w:szCs w:val="24"/>
        </w:rPr>
        <w:t> alapterületet meg nem haladó lakás alakítható ki.</w:t>
      </w:r>
    </w:p>
    <w:p w14:paraId="56D7F529" w14:textId="77777777" w:rsidR="00020CF5" w:rsidRPr="00A9017C" w:rsidRDefault="00020CF5" w:rsidP="00020CF5">
      <w:pPr>
        <w:spacing w:before="240" w:after="0" w:line="240" w:lineRule="auto"/>
        <w:jc w:val="center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i/>
          <w:iCs/>
          <w:sz w:val="24"/>
          <w:szCs w:val="24"/>
        </w:rPr>
        <w:t>45.     Településközpont terület építési övezeteinek előírásai</w:t>
      </w:r>
    </w:p>
    <w:p w14:paraId="35E51564" w14:textId="77777777" w:rsidR="00020CF5" w:rsidRPr="00A9017C" w:rsidRDefault="00020CF5" w:rsidP="00020CF5">
      <w:pPr>
        <w:spacing w:before="120" w:after="0" w:line="240" w:lineRule="auto"/>
        <w:ind w:left="567"/>
        <w:jc w:val="both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b/>
          <w:bCs/>
          <w:sz w:val="24"/>
          <w:szCs w:val="24"/>
        </w:rPr>
        <w:t>46. § </w:t>
      </w:r>
      <w:r w:rsidRPr="00A9017C">
        <w:rPr>
          <w:rFonts w:ascii="Garamond" w:eastAsia="Times New Roman" w:hAnsi="Garamond" w:cs="Times New Roman"/>
          <w:sz w:val="24"/>
          <w:szCs w:val="24"/>
        </w:rPr>
        <w:t>(1) A településközpont terület a lakórendeltetésű és olyan települési szintű egyéb rendeltetésű épület elhelyezésére szolgál, amely nincs jelentősen zavaró hatással a lakó rendeltetésre. A nagyvízi meder hullámtéri területén elhelyezkedő telken eltérő övezeti előírás hiányában új lakórendeltetés nem alakítható ki, de megtartható és megújítható a lakórendeltetés a kialakult térméretű 4445 hrsz. és 4437 hrsz. alatti ingatlanok esetében.</w:t>
      </w:r>
    </w:p>
    <w:p w14:paraId="30725B98" w14:textId="77777777" w:rsidR="00020CF5" w:rsidRPr="00A9017C" w:rsidRDefault="00020CF5" w:rsidP="00020CF5">
      <w:pPr>
        <w:spacing w:before="120" w:after="0" w:line="240" w:lineRule="auto"/>
        <w:ind w:left="567"/>
        <w:jc w:val="both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sz w:val="24"/>
          <w:szCs w:val="24"/>
        </w:rPr>
        <w:t>(2)     A településközpont területen elhelyezhető épület elsősorban a helyi és a járási területen élő lakosságot, valamint a turizmust szolgáló egynél több rendeltetést tartalmazhat, melyben lehet:</w:t>
      </w:r>
    </w:p>
    <w:p w14:paraId="2E30ADE3" w14:textId="77777777" w:rsidR="00020CF5" w:rsidRPr="00A9017C" w:rsidRDefault="00020CF5" w:rsidP="00020CF5">
      <w:pPr>
        <w:spacing w:before="120" w:after="0" w:line="240" w:lineRule="auto"/>
        <w:ind w:left="993"/>
        <w:jc w:val="both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i/>
          <w:iCs/>
          <w:sz w:val="24"/>
          <w:szCs w:val="24"/>
        </w:rPr>
        <w:t>a)</w:t>
      </w:r>
      <w:r w:rsidRPr="00A9017C">
        <w:rPr>
          <w:rFonts w:ascii="Garamond" w:eastAsia="Times New Roman" w:hAnsi="Garamond" w:cs="Times New Roman"/>
          <w:sz w:val="24"/>
          <w:szCs w:val="24"/>
        </w:rPr>
        <w:t>        egyes övezetekben meghatározott arányban és feltétellel lakó,</w:t>
      </w:r>
    </w:p>
    <w:p w14:paraId="1C8BA4E0" w14:textId="77777777" w:rsidR="00020CF5" w:rsidRPr="00A9017C" w:rsidRDefault="00020CF5" w:rsidP="00020CF5">
      <w:pPr>
        <w:spacing w:before="120" w:after="0" w:line="240" w:lineRule="auto"/>
        <w:ind w:left="992"/>
        <w:jc w:val="both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i/>
          <w:iCs/>
          <w:sz w:val="24"/>
          <w:szCs w:val="24"/>
        </w:rPr>
        <w:t>b)</w:t>
      </w:r>
      <w:r w:rsidRPr="00A9017C">
        <w:rPr>
          <w:rFonts w:ascii="Garamond" w:eastAsia="Times New Roman" w:hAnsi="Garamond" w:cs="Times New Roman"/>
          <w:sz w:val="24"/>
          <w:szCs w:val="24"/>
        </w:rPr>
        <w:t>        igazgatási, iroda,</w:t>
      </w:r>
    </w:p>
    <w:p w14:paraId="3440DCD3" w14:textId="77777777" w:rsidR="00020CF5" w:rsidRPr="00A9017C" w:rsidRDefault="00020CF5" w:rsidP="00020CF5">
      <w:pPr>
        <w:spacing w:before="120" w:after="0" w:line="240" w:lineRule="auto"/>
        <w:ind w:left="993"/>
        <w:jc w:val="both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i/>
          <w:iCs/>
          <w:sz w:val="24"/>
          <w:szCs w:val="24"/>
        </w:rPr>
        <w:t>c)</w:t>
      </w:r>
      <w:r w:rsidRPr="00A9017C">
        <w:rPr>
          <w:rFonts w:ascii="Garamond" w:eastAsia="Times New Roman" w:hAnsi="Garamond" w:cs="Times New Roman"/>
          <w:sz w:val="24"/>
          <w:szCs w:val="24"/>
        </w:rPr>
        <w:t>         kereskedelmi, szolgáltatás, szállás,</w:t>
      </w:r>
    </w:p>
    <w:p w14:paraId="37644E04" w14:textId="77777777" w:rsidR="00020CF5" w:rsidRPr="00A9017C" w:rsidRDefault="00020CF5" w:rsidP="00020CF5">
      <w:pPr>
        <w:spacing w:before="120" w:after="0" w:line="240" w:lineRule="auto"/>
        <w:ind w:left="993"/>
        <w:jc w:val="both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i/>
          <w:iCs/>
          <w:sz w:val="24"/>
          <w:szCs w:val="24"/>
        </w:rPr>
        <w:t>d)</w:t>
      </w:r>
      <w:r w:rsidRPr="00A9017C">
        <w:rPr>
          <w:rFonts w:ascii="Garamond" w:eastAsia="Times New Roman" w:hAnsi="Garamond" w:cs="Times New Roman"/>
          <w:sz w:val="24"/>
          <w:szCs w:val="24"/>
        </w:rPr>
        <w:t>        egyéb közösségi szórakoztató rendeltetés olyan területrészen, ahol a közvetlen szomszédságban nincsen lakórendeltetés, valamint ahol a kereskedelmi, szolgáltatói célú használat az elsődleges,</w:t>
      </w:r>
    </w:p>
    <w:p w14:paraId="1E11AE3F" w14:textId="77777777" w:rsidR="00020CF5" w:rsidRPr="00A9017C" w:rsidRDefault="00020CF5" w:rsidP="00020CF5">
      <w:pPr>
        <w:spacing w:before="120" w:after="0" w:line="240" w:lineRule="auto"/>
        <w:ind w:left="993"/>
        <w:jc w:val="both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i/>
          <w:iCs/>
          <w:sz w:val="24"/>
          <w:szCs w:val="24"/>
        </w:rPr>
        <w:t>e)</w:t>
      </w:r>
      <w:r w:rsidRPr="00A9017C">
        <w:rPr>
          <w:rFonts w:ascii="Garamond" w:eastAsia="Times New Roman" w:hAnsi="Garamond" w:cs="Times New Roman"/>
          <w:sz w:val="24"/>
          <w:szCs w:val="24"/>
        </w:rPr>
        <w:t>         hitéleti, nevelési, oktatási, egészségügyi, szociális,</w:t>
      </w:r>
    </w:p>
    <w:p w14:paraId="2756629B" w14:textId="77777777" w:rsidR="00020CF5" w:rsidRPr="00A9017C" w:rsidRDefault="00020CF5" w:rsidP="00020CF5">
      <w:pPr>
        <w:spacing w:before="120" w:after="0" w:line="240" w:lineRule="auto"/>
        <w:ind w:left="993"/>
        <w:jc w:val="both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i/>
          <w:iCs/>
          <w:sz w:val="24"/>
          <w:szCs w:val="24"/>
        </w:rPr>
        <w:t>f)</w:t>
      </w:r>
      <w:r w:rsidRPr="00A9017C">
        <w:rPr>
          <w:rFonts w:ascii="Garamond" w:eastAsia="Times New Roman" w:hAnsi="Garamond" w:cs="Times New Roman"/>
          <w:sz w:val="24"/>
          <w:szCs w:val="24"/>
        </w:rPr>
        <w:t>          a lakórendeltetésnél megengedett környezeti határértéket meg nem haladó környezeti terhelést jelentő gazdasági,</w:t>
      </w:r>
    </w:p>
    <w:p w14:paraId="3811A53B" w14:textId="77777777" w:rsidR="00020CF5" w:rsidRPr="00A9017C" w:rsidRDefault="00020CF5" w:rsidP="00020CF5">
      <w:pPr>
        <w:spacing w:before="120" w:after="0" w:line="240" w:lineRule="auto"/>
        <w:ind w:left="993"/>
        <w:jc w:val="both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i/>
          <w:iCs/>
          <w:sz w:val="24"/>
          <w:szCs w:val="24"/>
        </w:rPr>
        <w:t>g)</w:t>
      </w:r>
      <w:r w:rsidRPr="00A9017C">
        <w:rPr>
          <w:rFonts w:ascii="Garamond" w:eastAsia="Times New Roman" w:hAnsi="Garamond" w:cs="Times New Roman"/>
          <w:sz w:val="24"/>
          <w:szCs w:val="24"/>
        </w:rPr>
        <w:t>        kulturális,</w:t>
      </w:r>
    </w:p>
    <w:p w14:paraId="17FCA8DE" w14:textId="77777777" w:rsidR="00020CF5" w:rsidRPr="00A9017C" w:rsidRDefault="00020CF5" w:rsidP="00020CF5">
      <w:pPr>
        <w:spacing w:before="120" w:after="0" w:line="240" w:lineRule="auto"/>
        <w:ind w:left="993"/>
        <w:jc w:val="both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i/>
          <w:iCs/>
          <w:sz w:val="24"/>
          <w:szCs w:val="24"/>
        </w:rPr>
        <w:t>h)</w:t>
      </w:r>
      <w:r w:rsidRPr="00A9017C">
        <w:rPr>
          <w:rFonts w:ascii="Garamond" w:eastAsia="Times New Roman" w:hAnsi="Garamond" w:cs="Times New Roman"/>
          <w:sz w:val="24"/>
          <w:szCs w:val="24"/>
        </w:rPr>
        <w:t>        parkolóház és mélygarázs</w:t>
      </w:r>
    </w:p>
    <w:p w14:paraId="52E71DB8" w14:textId="77777777" w:rsidR="00020CF5" w:rsidRPr="00A9017C" w:rsidRDefault="00020CF5" w:rsidP="00020CF5">
      <w:pPr>
        <w:spacing w:before="120" w:after="0" w:line="240" w:lineRule="auto"/>
        <w:ind w:left="851"/>
        <w:jc w:val="both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sz w:val="24"/>
          <w:szCs w:val="24"/>
        </w:rPr>
        <w:t>rendeltetés.</w:t>
      </w:r>
    </w:p>
    <w:p w14:paraId="076C0A38" w14:textId="77777777" w:rsidR="00020CF5" w:rsidRPr="00A9017C" w:rsidRDefault="00020CF5" w:rsidP="00020CF5">
      <w:pPr>
        <w:spacing w:before="120" w:after="60" w:line="240" w:lineRule="auto"/>
        <w:ind w:left="567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sz w:val="24"/>
          <w:szCs w:val="24"/>
        </w:rPr>
        <w:t>(3)     Nem helyezhető el a településközpont területen</w:t>
      </w:r>
    </w:p>
    <w:p w14:paraId="56D0A8CF" w14:textId="77777777" w:rsidR="00020CF5" w:rsidRPr="00A9017C" w:rsidRDefault="00020CF5" w:rsidP="00020CF5">
      <w:pPr>
        <w:spacing w:before="120" w:after="60" w:line="240" w:lineRule="auto"/>
        <w:ind w:left="567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i/>
          <w:iCs/>
          <w:sz w:val="24"/>
          <w:szCs w:val="24"/>
        </w:rPr>
        <w:t>a)</w:t>
      </w:r>
      <w:r w:rsidRPr="00A9017C">
        <w:rPr>
          <w:rFonts w:ascii="Garamond" w:eastAsia="Times New Roman" w:hAnsi="Garamond" w:cs="Times New Roman"/>
          <w:sz w:val="24"/>
          <w:szCs w:val="24"/>
        </w:rPr>
        <w:t>    haszonállattartásra alkalmas melléképület,</w:t>
      </w:r>
    </w:p>
    <w:p w14:paraId="1DE8FC52" w14:textId="77777777" w:rsidR="00020CF5" w:rsidRPr="00A9017C" w:rsidRDefault="00020CF5" w:rsidP="00020CF5">
      <w:pPr>
        <w:spacing w:before="120" w:after="60" w:line="240" w:lineRule="auto"/>
        <w:ind w:left="567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i/>
          <w:iCs/>
          <w:sz w:val="24"/>
          <w:szCs w:val="24"/>
        </w:rPr>
        <w:t>b)</w:t>
      </w:r>
      <w:r w:rsidRPr="00A9017C">
        <w:rPr>
          <w:rFonts w:ascii="Garamond" w:eastAsia="Times New Roman" w:hAnsi="Garamond" w:cs="Times New Roman"/>
          <w:sz w:val="24"/>
          <w:szCs w:val="24"/>
        </w:rPr>
        <w:t>    üzemanyagtöltő állomás,</w:t>
      </w:r>
    </w:p>
    <w:p w14:paraId="0E249794" w14:textId="77777777" w:rsidR="00020CF5" w:rsidRPr="00A9017C" w:rsidRDefault="00020CF5" w:rsidP="00020CF5">
      <w:pPr>
        <w:spacing w:before="120" w:after="0" w:line="240" w:lineRule="auto"/>
        <w:ind w:left="567"/>
        <w:jc w:val="both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i/>
          <w:iCs/>
          <w:sz w:val="24"/>
          <w:szCs w:val="24"/>
        </w:rPr>
        <w:t>c)  </w:t>
      </w:r>
      <w:r w:rsidRPr="00A9017C">
        <w:rPr>
          <w:rFonts w:ascii="Garamond" w:eastAsia="Times New Roman" w:hAnsi="Garamond" w:cs="Times New Roman"/>
          <w:sz w:val="24"/>
          <w:szCs w:val="24"/>
        </w:rPr>
        <w:t>a környezetre jelentős hatást gyakorló tevékenységet befogadó épület.</w:t>
      </w:r>
    </w:p>
    <w:p w14:paraId="2CD7CEAD" w14:textId="77777777" w:rsidR="00020CF5" w:rsidRPr="00A9017C" w:rsidRDefault="00020CF5" w:rsidP="00020CF5">
      <w:pPr>
        <w:spacing w:before="120" w:after="120" w:line="240" w:lineRule="auto"/>
        <w:ind w:left="567"/>
        <w:jc w:val="both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sz w:val="24"/>
          <w:szCs w:val="24"/>
        </w:rPr>
        <w:t>(4)     A vegyes területek építési övezeteiben – Pismány üdülőterületi részét kivéve - csak teljes közművesítéssel helyezhető el épület olyan módon, hogy a felszíni vizek nyílt árkos elvezetése – szakhatósági hozzájárulással – a zárt csapadékcsatorna kiépítéséig, átmeneti megoldásként megengedett.</w:t>
      </w:r>
    </w:p>
    <w:p w14:paraId="6E208861" w14:textId="77777777" w:rsidR="00020CF5" w:rsidRPr="00A9017C" w:rsidRDefault="00020CF5" w:rsidP="00020CF5">
      <w:pPr>
        <w:spacing w:before="120" w:after="120" w:line="240" w:lineRule="auto"/>
        <w:ind w:left="567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sz w:val="24"/>
          <w:szCs w:val="24"/>
        </w:rPr>
        <w:t>(5)     Az építési övezetekben a terepszint alatt önálló építményként gépjárműtároló és közmű-becsatlakozási műtárgy, a terepfelszínen a főépülten kívül hulladéktartály-tároló és kerti építmények építhetők.</w:t>
      </w:r>
    </w:p>
    <w:p w14:paraId="711CE0A7" w14:textId="77777777" w:rsidR="00020CF5" w:rsidRPr="00A9017C" w:rsidRDefault="00020CF5" w:rsidP="00020CF5">
      <w:pPr>
        <w:spacing w:before="120" w:after="120" w:line="240" w:lineRule="auto"/>
        <w:ind w:left="567"/>
        <w:jc w:val="both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sz w:val="24"/>
          <w:szCs w:val="24"/>
        </w:rPr>
        <w:t xml:space="preserve">(6)     A településközponti vegyes területen - ahol lakásrendeltetés megengedett – a gépkocsi tárolók által igénybevett alapterületen kívül az összes szintterület legfeljebb 75%-a lehet lakórendeltetés. A közterületi </w:t>
      </w:r>
      <w:r w:rsidRPr="00A9017C">
        <w:rPr>
          <w:rFonts w:ascii="Garamond" w:eastAsia="Times New Roman" w:hAnsi="Garamond" w:cs="Times New Roman"/>
          <w:sz w:val="24"/>
          <w:szCs w:val="24"/>
        </w:rPr>
        <w:lastRenderedPageBreak/>
        <w:t>határtól mért 15,0 m-es sávon belül főútra, gyűjtőútra ajtóval, ablakkal nyíló lakórendeltetés a földszinten nem alakítható ki.</w:t>
      </w:r>
    </w:p>
    <w:p w14:paraId="7BE36AC3" w14:textId="77777777" w:rsidR="00020CF5" w:rsidRPr="00A9017C" w:rsidRDefault="00020CF5" w:rsidP="00020CF5">
      <w:pPr>
        <w:spacing w:before="120" w:after="120" w:line="240" w:lineRule="auto"/>
        <w:ind w:left="567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sz w:val="24"/>
          <w:szCs w:val="24"/>
        </w:rPr>
        <w:t>(7)     A telek területének minden 120 m</w:t>
      </w:r>
      <w:r w:rsidRPr="00A9017C">
        <w:rPr>
          <w:rFonts w:ascii="Garamond" w:eastAsia="Times New Roman" w:hAnsi="Garamond" w:cs="Times New Roman"/>
          <w:sz w:val="24"/>
          <w:szCs w:val="24"/>
          <w:vertAlign w:val="superscript"/>
        </w:rPr>
        <w:t>2</w:t>
      </w:r>
      <w:r w:rsidRPr="00A9017C">
        <w:rPr>
          <w:rFonts w:ascii="Garamond" w:eastAsia="Times New Roman" w:hAnsi="Garamond" w:cs="Times New Roman"/>
          <w:sz w:val="24"/>
          <w:szCs w:val="24"/>
        </w:rPr>
        <w:t>-ére esően legfeljebb egy rendeltetési egység létesíthető.</w:t>
      </w:r>
    </w:p>
    <w:p w14:paraId="5E83C408" w14:textId="77777777" w:rsidR="00020CF5" w:rsidRPr="009A22DC" w:rsidRDefault="00020CF5" w:rsidP="00020CF5">
      <w:pPr>
        <w:spacing w:after="0" w:line="240" w:lineRule="auto"/>
        <w:ind w:left="567"/>
        <w:rPr>
          <w:rFonts w:ascii="Garamond" w:eastAsia="Times New Roman" w:hAnsi="Garamond"/>
          <w:sz w:val="24"/>
          <w:szCs w:val="24"/>
        </w:rPr>
      </w:pPr>
      <w:r w:rsidRPr="00A9017C">
        <w:rPr>
          <w:rFonts w:ascii="Garamond" w:eastAsia="Times New Roman" w:hAnsi="Garamond" w:cs="Times New Roman"/>
          <w:sz w:val="24"/>
          <w:szCs w:val="24"/>
        </w:rPr>
        <w:t xml:space="preserve">(8)     A településközponti vegyes terület övezeteinek és építési övezeteinek paraméterei a 3. melléklet 5. </w:t>
      </w:r>
      <w:r w:rsidRPr="009A22DC">
        <w:rPr>
          <w:rFonts w:ascii="Garamond" w:eastAsia="Times New Roman" w:hAnsi="Garamond" w:cs="Times New Roman"/>
          <w:sz w:val="24"/>
          <w:szCs w:val="24"/>
        </w:rPr>
        <w:t>pontjában szerepelnek.</w:t>
      </w:r>
    </w:p>
    <w:p w14:paraId="0004573A" w14:textId="77777777" w:rsidR="00020CF5" w:rsidRPr="00600E25" w:rsidRDefault="00020CF5" w:rsidP="00020CF5">
      <w:pPr>
        <w:spacing w:before="120" w:after="120" w:line="240" w:lineRule="auto"/>
        <w:ind w:left="567"/>
        <w:rPr>
          <w:rFonts w:ascii="Garamond" w:eastAsia="Times New Roman" w:hAnsi="Garamond"/>
          <w:b/>
          <w:bCs/>
          <w:i/>
          <w:iCs/>
          <w:sz w:val="24"/>
          <w:szCs w:val="24"/>
        </w:rPr>
      </w:pPr>
      <w:r w:rsidRPr="00600E25">
        <w:rPr>
          <w:rFonts w:ascii="Garamond" w:eastAsia="Times New Roman" w:hAnsi="Garamond" w:cs="Times New Roman"/>
          <w:b/>
          <w:bCs/>
          <w:i/>
          <w:iCs/>
          <w:sz w:val="24"/>
          <w:szCs w:val="24"/>
        </w:rPr>
        <w:t>(10a) A Vt/6 jelű övezetben műemléki védelem alatt álló telken </w:t>
      </w:r>
    </w:p>
    <w:p w14:paraId="41930A43" w14:textId="77777777" w:rsidR="00020CF5" w:rsidRPr="00600E25" w:rsidRDefault="00020CF5" w:rsidP="00020CF5">
      <w:pPr>
        <w:spacing w:before="120" w:after="120" w:line="240" w:lineRule="auto"/>
        <w:ind w:left="1167"/>
        <w:rPr>
          <w:rFonts w:ascii="Garamond" w:eastAsia="Times New Roman" w:hAnsi="Garamond"/>
          <w:b/>
          <w:bCs/>
          <w:i/>
          <w:iCs/>
          <w:sz w:val="24"/>
          <w:szCs w:val="24"/>
        </w:rPr>
      </w:pPr>
      <w:r w:rsidRPr="00600E25">
        <w:rPr>
          <w:rFonts w:ascii="Garamond" w:eastAsia="Times New Roman" w:hAnsi="Garamond" w:cs="Times New Roman"/>
          <w:b/>
          <w:bCs/>
          <w:i/>
          <w:iCs/>
          <w:sz w:val="24"/>
          <w:szCs w:val="24"/>
        </w:rPr>
        <w:t>(a) lakás rendeltetés, valamint </w:t>
      </w:r>
    </w:p>
    <w:p w14:paraId="40FD7D0A" w14:textId="77777777" w:rsidR="00020CF5" w:rsidRPr="00600E25" w:rsidRDefault="00020CF5" w:rsidP="00020CF5">
      <w:pPr>
        <w:spacing w:before="120" w:after="120" w:line="240" w:lineRule="auto"/>
        <w:ind w:left="1167"/>
        <w:rPr>
          <w:rFonts w:ascii="Garamond" w:eastAsia="Times New Roman" w:hAnsi="Garamond"/>
          <w:b/>
          <w:bCs/>
          <w:i/>
          <w:iCs/>
          <w:sz w:val="24"/>
          <w:szCs w:val="24"/>
        </w:rPr>
      </w:pPr>
      <w:r w:rsidRPr="00600E25">
        <w:rPr>
          <w:rFonts w:ascii="Garamond" w:eastAsia="Times New Roman" w:hAnsi="Garamond" w:cs="Times New Roman"/>
          <w:b/>
          <w:bCs/>
          <w:i/>
          <w:iCs/>
          <w:sz w:val="24"/>
          <w:szCs w:val="24"/>
        </w:rPr>
        <w:t>(b) önálló rendeltetési egységként apartmanok</w:t>
      </w:r>
    </w:p>
    <w:p w14:paraId="57B2C205" w14:textId="77777777" w:rsidR="00020CF5" w:rsidRPr="00600E25" w:rsidRDefault="00020CF5" w:rsidP="00020CF5">
      <w:pPr>
        <w:spacing w:before="120" w:after="120" w:line="240" w:lineRule="auto"/>
        <w:ind w:left="1167"/>
        <w:rPr>
          <w:rFonts w:ascii="Garamond" w:eastAsia="Times New Roman" w:hAnsi="Garamond"/>
          <w:b/>
          <w:bCs/>
          <w:i/>
          <w:iCs/>
          <w:sz w:val="24"/>
          <w:szCs w:val="24"/>
        </w:rPr>
      </w:pPr>
      <w:r w:rsidRPr="00600E25">
        <w:rPr>
          <w:rFonts w:ascii="Garamond" w:eastAsia="Times New Roman" w:hAnsi="Garamond" w:cs="Times New Roman"/>
          <w:b/>
          <w:bCs/>
          <w:i/>
          <w:iCs/>
          <w:sz w:val="24"/>
          <w:szCs w:val="24"/>
        </w:rPr>
        <w:t>nem létesíthetők.</w:t>
      </w:r>
    </w:p>
    <w:p w14:paraId="15921560" w14:textId="384A8641" w:rsidR="00020CF5" w:rsidRPr="00600E25" w:rsidRDefault="00020CF5" w:rsidP="004A3A1D">
      <w:pPr>
        <w:spacing w:before="120" w:after="120" w:line="240" w:lineRule="auto"/>
        <w:ind w:left="567"/>
        <w:rPr>
          <w:rFonts w:ascii="Garamond" w:eastAsia="Times New Roman" w:hAnsi="Garamond" w:cs="Times New Roman"/>
          <w:b/>
          <w:bCs/>
          <w:i/>
          <w:iCs/>
          <w:sz w:val="24"/>
          <w:szCs w:val="24"/>
        </w:rPr>
      </w:pPr>
      <w:r w:rsidRPr="00600E25">
        <w:rPr>
          <w:rFonts w:ascii="Garamond" w:eastAsia="Times New Roman" w:hAnsi="Garamond" w:cs="Times New Roman"/>
          <w:b/>
          <w:bCs/>
          <w:i/>
          <w:iCs/>
          <w:sz w:val="24"/>
          <w:szCs w:val="24"/>
        </w:rPr>
        <w:t>  (10b) A Vt/6 jelű övezetben műemléki védelem alatt álló telek nem osztható meg.</w:t>
      </w:r>
    </w:p>
    <w:p w14:paraId="1E0D3AAA" w14:textId="77777777" w:rsidR="004A3A1D" w:rsidRPr="004A3A1D" w:rsidRDefault="004A3A1D" w:rsidP="004A3A1D">
      <w:pPr>
        <w:spacing w:before="120" w:after="120" w:line="240" w:lineRule="auto"/>
        <w:ind w:left="567"/>
        <w:rPr>
          <w:rFonts w:ascii="Garamond" w:eastAsia="Times New Roman" w:hAnsi="Garamond" w:cs="Times New Roman"/>
          <w:sz w:val="24"/>
          <w:szCs w:val="24"/>
        </w:rPr>
      </w:pPr>
    </w:p>
    <w:p w14:paraId="204AC1B1" w14:textId="77777777" w:rsidR="00020CF5" w:rsidRPr="00A9017C" w:rsidRDefault="00020CF5" w:rsidP="00020CF5">
      <w:pPr>
        <w:spacing w:after="0" w:line="240" w:lineRule="auto"/>
        <w:ind w:left="1134" w:hanging="1134"/>
        <w:rPr>
          <w:rFonts w:ascii="Garamond" w:hAnsi="Garamond" w:cs="Times New Roman"/>
          <w:b/>
          <w:bCs/>
          <w:i/>
          <w:sz w:val="24"/>
          <w:szCs w:val="24"/>
        </w:rPr>
      </w:pPr>
      <w:r w:rsidRPr="00A9017C">
        <w:rPr>
          <w:rFonts w:ascii="Garamond" w:hAnsi="Garamond" w:cs="Times New Roman"/>
          <w:b/>
          <w:bCs/>
          <w:i/>
          <w:sz w:val="24"/>
          <w:szCs w:val="24"/>
        </w:rPr>
        <w:t>3. melléklet</w:t>
      </w:r>
      <w:r w:rsidRPr="00A9017C">
        <w:rPr>
          <w:rFonts w:ascii="Garamond" w:hAnsi="Garamond" w:cs="Times New Roman"/>
          <w:b/>
          <w:bCs/>
          <w:i/>
          <w:sz w:val="24"/>
          <w:szCs w:val="24"/>
        </w:rPr>
        <w:tab/>
        <w:t xml:space="preserve">Szentendre Építési Szabályzatáról szóló </w:t>
      </w:r>
      <w:r w:rsidRPr="00A9017C">
        <w:rPr>
          <w:rFonts w:ascii="Garamond" w:hAnsi="Garamond" w:cs="Times New Roman"/>
          <w:b/>
          <w:i/>
          <w:sz w:val="24"/>
          <w:szCs w:val="24"/>
        </w:rPr>
        <w:t>26</w:t>
      </w:r>
      <w:r w:rsidRPr="00A9017C">
        <w:rPr>
          <w:rFonts w:ascii="Garamond" w:hAnsi="Garamond" w:cs="Times New Roman"/>
          <w:b/>
          <w:bCs/>
          <w:i/>
          <w:sz w:val="24"/>
          <w:szCs w:val="24"/>
        </w:rPr>
        <w:t>/2017. (</w:t>
      </w:r>
      <w:r w:rsidRPr="00A9017C">
        <w:rPr>
          <w:rFonts w:ascii="Garamond" w:hAnsi="Garamond" w:cs="Times New Roman"/>
          <w:b/>
          <w:i/>
          <w:sz w:val="24"/>
          <w:szCs w:val="24"/>
        </w:rPr>
        <w:t xml:space="preserve">VII.31.) önkormányzati </w:t>
      </w:r>
      <w:r w:rsidRPr="00A9017C">
        <w:rPr>
          <w:rFonts w:ascii="Garamond" w:hAnsi="Garamond" w:cs="Times New Roman"/>
          <w:b/>
          <w:bCs/>
          <w:i/>
          <w:sz w:val="24"/>
          <w:szCs w:val="24"/>
        </w:rPr>
        <w:t>rendelethez</w:t>
      </w:r>
    </w:p>
    <w:p w14:paraId="6EF57785" w14:textId="77777777" w:rsidR="00020CF5" w:rsidRPr="00A9017C" w:rsidRDefault="00020CF5" w:rsidP="00020CF5">
      <w:pPr>
        <w:spacing w:after="0" w:line="240" w:lineRule="auto"/>
        <w:rPr>
          <w:rFonts w:ascii="Garamond" w:hAnsi="Garamond" w:cs="Times New Roman"/>
          <w:b/>
          <w:bCs/>
          <w:i/>
          <w:sz w:val="24"/>
          <w:szCs w:val="24"/>
        </w:rPr>
      </w:pPr>
    </w:p>
    <w:p w14:paraId="59F70973" w14:textId="77777777" w:rsidR="00020CF5" w:rsidRPr="00A9017C" w:rsidRDefault="00020CF5" w:rsidP="00020CF5">
      <w:pPr>
        <w:spacing w:after="0" w:line="240" w:lineRule="auto"/>
        <w:jc w:val="center"/>
        <w:rPr>
          <w:rFonts w:ascii="Garamond" w:hAnsi="Garamond" w:cs="Times New Roman"/>
          <w:b/>
          <w:bCs/>
          <w:caps/>
          <w:sz w:val="24"/>
          <w:szCs w:val="24"/>
        </w:rPr>
      </w:pPr>
      <w:r w:rsidRPr="00A9017C">
        <w:rPr>
          <w:rFonts w:ascii="Garamond" w:hAnsi="Garamond" w:cs="Times New Roman"/>
          <w:b/>
          <w:bCs/>
          <w:caps/>
          <w:sz w:val="24"/>
          <w:szCs w:val="24"/>
        </w:rPr>
        <w:t>Építési övezetek és övezetek paramétertáblázatai</w:t>
      </w:r>
    </w:p>
    <w:p w14:paraId="75325C69" w14:textId="77777777" w:rsidR="00020CF5" w:rsidRPr="00A9017C" w:rsidRDefault="00020CF5" w:rsidP="00020CF5">
      <w:pPr>
        <w:tabs>
          <w:tab w:val="left" w:pos="567"/>
        </w:tabs>
        <w:spacing w:before="120" w:after="0" w:line="240" w:lineRule="auto"/>
        <w:rPr>
          <w:rFonts w:ascii="Garamond" w:hAnsi="Garamond" w:cs="Times New Roman"/>
          <w:b/>
          <w:iCs/>
          <w:caps/>
          <w:sz w:val="24"/>
          <w:szCs w:val="24"/>
        </w:rPr>
      </w:pPr>
    </w:p>
    <w:p w14:paraId="28102DF8" w14:textId="77777777" w:rsidR="00020CF5" w:rsidRPr="00A9017C" w:rsidRDefault="00020CF5" w:rsidP="00020CF5">
      <w:pPr>
        <w:tabs>
          <w:tab w:val="left" w:pos="567"/>
        </w:tabs>
        <w:spacing w:before="120" w:after="0" w:line="240" w:lineRule="auto"/>
        <w:rPr>
          <w:rFonts w:ascii="Garamond" w:hAnsi="Garamond" w:cs="Times New Roman"/>
          <w:i/>
          <w:iCs/>
          <w:caps/>
          <w:sz w:val="24"/>
          <w:szCs w:val="24"/>
        </w:rPr>
      </w:pPr>
      <w:r w:rsidRPr="00A9017C">
        <w:rPr>
          <w:rFonts w:ascii="Garamond" w:hAnsi="Garamond" w:cs="Times New Roman"/>
          <w:b/>
          <w:iCs/>
          <w:caps/>
          <w:sz w:val="24"/>
          <w:szCs w:val="24"/>
        </w:rPr>
        <w:t>5. Településközpont terület</w:t>
      </w:r>
    </w:p>
    <w:p w14:paraId="0FC04675" w14:textId="77777777" w:rsidR="00020CF5" w:rsidRPr="00A9017C" w:rsidRDefault="00020CF5" w:rsidP="00020CF5">
      <w:pPr>
        <w:tabs>
          <w:tab w:val="left" w:pos="567"/>
        </w:tabs>
        <w:spacing w:after="0" w:line="240" w:lineRule="auto"/>
        <w:jc w:val="right"/>
        <w:rPr>
          <w:rFonts w:ascii="Garamond" w:hAnsi="Garamond" w:cs="Times New Roman"/>
          <w:i/>
          <w:iCs/>
          <w:caps/>
          <w:sz w:val="24"/>
          <w:szCs w:val="24"/>
        </w:rPr>
      </w:pPr>
      <w:r w:rsidRPr="00A9017C">
        <w:rPr>
          <w:rFonts w:ascii="Garamond" w:hAnsi="Garamond" w:cs="Times New Roman"/>
          <w:i/>
          <w:iCs/>
          <w:sz w:val="24"/>
          <w:szCs w:val="24"/>
        </w:rPr>
        <w:t>4. sz. táblázat</w:t>
      </w:r>
    </w:p>
    <w:tbl>
      <w:tblPr>
        <w:tblpPr w:leftFromText="141" w:rightFromText="141" w:vertAnchor="text" w:horzAnchor="margin" w:tblpXSpec="center" w:tblpY="146"/>
        <w:tblW w:w="97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992"/>
        <w:gridCol w:w="34"/>
        <w:gridCol w:w="675"/>
        <w:gridCol w:w="987"/>
        <w:gridCol w:w="808"/>
        <w:gridCol w:w="1034"/>
        <w:gridCol w:w="761"/>
        <w:gridCol w:w="804"/>
        <w:gridCol w:w="992"/>
        <w:gridCol w:w="2120"/>
      </w:tblGrid>
      <w:tr w:rsidR="00020CF5" w:rsidRPr="00A9017C" w14:paraId="73FC0D22" w14:textId="77777777" w:rsidTr="00AD489D">
        <w:trPr>
          <w:cantSplit/>
          <w:trHeight w:val="271"/>
        </w:trPr>
        <w:tc>
          <w:tcPr>
            <w:tcW w:w="568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E5BB54B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F46E053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sz w:val="24"/>
                <w:szCs w:val="24"/>
              </w:rPr>
              <w:t>A</w:t>
            </w:r>
          </w:p>
        </w:tc>
        <w:tc>
          <w:tcPr>
            <w:tcW w:w="67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D18C770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sz w:val="24"/>
                <w:szCs w:val="24"/>
              </w:rPr>
              <w:t>B</w:t>
            </w:r>
          </w:p>
        </w:tc>
        <w:tc>
          <w:tcPr>
            <w:tcW w:w="987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AA7F41F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sz w:val="24"/>
                <w:szCs w:val="24"/>
              </w:rPr>
              <w:t>C</w:t>
            </w:r>
          </w:p>
        </w:tc>
        <w:tc>
          <w:tcPr>
            <w:tcW w:w="80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384D1A56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sz w:val="24"/>
                <w:szCs w:val="24"/>
              </w:rPr>
              <w:t>D</w:t>
            </w:r>
          </w:p>
        </w:tc>
        <w:tc>
          <w:tcPr>
            <w:tcW w:w="103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0F81D41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sz w:val="24"/>
                <w:szCs w:val="24"/>
              </w:rPr>
              <w:t>E</w:t>
            </w:r>
          </w:p>
        </w:tc>
        <w:tc>
          <w:tcPr>
            <w:tcW w:w="76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86E914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sz w:val="24"/>
                <w:szCs w:val="24"/>
              </w:rPr>
              <w:t>F</w:t>
            </w:r>
          </w:p>
        </w:tc>
        <w:tc>
          <w:tcPr>
            <w:tcW w:w="804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57A89362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sz w:val="24"/>
                <w:szCs w:val="24"/>
              </w:rPr>
              <w:t>G</w:t>
            </w: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92B0A36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sz w:val="24"/>
                <w:szCs w:val="24"/>
              </w:rPr>
              <w:t>H</w:t>
            </w:r>
          </w:p>
        </w:tc>
        <w:tc>
          <w:tcPr>
            <w:tcW w:w="2120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333C43D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sz w:val="24"/>
                <w:szCs w:val="24"/>
              </w:rPr>
              <w:t>I</w:t>
            </w:r>
          </w:p>
        </w:tc>
      </w:tr>
      <w:tr w:rsidR="00020CF5" w:rsidRPr="00A9017C" w14:paraId="4FB5BC0D" w14:textId="77777777" w:rsidTr="00AD489D">
        <w:trPr>
          <w:cantSplit/>
          <w:trHeight w:val="271"/>
        </w:trPr>
        <w:tc>
          <w:tcPr>
            <w:tcW w:w="56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790BB4E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766E63BE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i/>
                <w:iCs/>
                <w:sz w:val="24"/>
                <w:szCs w:val="24"/>
              </w:rPr>
              <w:t>Az építési övezet</w:t>
            </w:r>
          </w:p>
        </w:tc>
        <w:tc>
          <w:tcPr>
            <w:tcW w:w="4394" w:type="dxa"/>
            <w:gridSpan w:val="5"/>
            <w:tcBorders>
              <w:top w:val="double" w:sz="4" w:space="0" w:color="auto"/>
            </w:tcBorders>
            <w:vAlign w:val="center"/>
          </w:tcPr>
          <w:p w14:paraId="03F56A03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i/>
                <w:iCs/>
                <w:sz w:val="24"/>
                <w:szCs w:val="24"/>
              </w:rPr>
              <w:t>Az építési telek</w:t>
            </w:r>
          </w:p>
        </w:tc>
        <w:tc>
          <w:tcPr>
            <w:tcW w:w="992" w:type="dxa"/>
            <w:tcBorders>
              <w:top w:val="double" w:sz="4" w:space="0" w:color="auto"/>
            </w:tcBorders>
            <w:vAlign w:val="center"/>
          </w:tcPr>
          <w:p w14:paraId="78F09D79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i/>
                <w:iCs/>
                <w:sz w:val="24"/>
                <w:szCs w:val="24"/>
              </w:rPr>
              <w:t>Az épület</w:t>
            </w:r>
          </w:p>
        </w:tc>
        <w:tc>
          <w:tcPr>
            <w:tcW w:w="2120" w:type="dxa"/>
            <w:vMerge w:val="restart"/>
            <w:tcBorders>
              <w:top w:val="double" w:sz="4" w:space="0" w:color="auto"/>
            </w:tcBorders>
            <w:textDirection w:val="btLr"/>
            <w:vAlign w:val="center"/>
          </w:tcPr>
          <w:p w14:paraId="41D6277D" w14:textId="77777777" w:rsidR="00020CF5" w:rsidRPr="00A9017C" w:rsidRDefault="00020CF5" w:rsidP="00AD489D">
            <w:pPr>
              <w:spacing w:after="0" w:line="240" w:lineRule="auto"/>
              <w:ind w:left="113" w:right="113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i/>
                <w:iCs/>
                <w:sz w:val="24"/>
                <w:szCs w:val="24"/>
              </w:rPr>
              <w:t>Megjegyzés</w:t>
            </w:r>
          </w:p>
        </w:tc>
      </w:tr>
      <w:tr w:rsidR="00020CF5" w:rsidRPr="00A9017C" w14:paraId="704EFCB9" w14:textId="77777777" w:rsidTr="00AD489D">
        <w:trPr>
          <w:cantSplit/>
          <w:trHeight w:val="1956"/>
        </w:trPr>
        <w:tc>
          <w:tcPr>
            <w:tcW w:w="568" w:type="dxa"/>
            <w:vMerge w:val="restar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09FC302B" w14:textId="77777777" w:rsidR="00020CF5" w:rsidRPr="00A9017C" w:rsidRDefault="00020CF5" w:rsidP="00AD489D">
            <w:pPr>
              <w:spacing w:after="0" w:line="240" w:lineRule="auto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  <w:tcBorders>
              <w:left w:val="double" w:sz="4" w:space="0" w:color="auto"/>
              <w:bottom w:val="double" w:sz="4" w:space="0" w:color="auto"/>
            </w:tcBorders>
            <w:textDirection w:val="btLr"/>
            <w:vAlign w:val="center"/>
          </w:tcPr>
          <w:p w14:paraId="2AD09540" w14:textId="77777777" w:rsidR="00020CF5" w:rsidRPr="00A9017C" w:rsidRDefault="00020CF5" w:rsidP="00AD489D">
            <w:pPr>
              <w:spacing w:after="0" w:line="240" w:lineRule="auto"/>
              <w:ind w:left="113" w:right="113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i/>
                <w:iCs/>
                <w:sz w:val="24"/>
                <w:szCs w:val="24"/>
              </w:rPr>
              <w:t>Építési övezet jele</w:t>
            </w:r>
          </w:p>
        </w:tc>
        <w:tc>
          <w:tcPr>
            <w:tcW w:w="709" w:type="dxa"/>
            <w:gridSpan w:val="2"/>
            <w:vMerge w:val="restart"/>
            <w:textDirection w:val="btLr"/>
            <w:vAlign w:val="center"/>
          </w:tcPr>
          <w:p w14:paraId="1EFA717F" w14:textId="77777777" w:rsidR="00020CF5" w:rsidRPr="00A9017C" w:rsidRDefault="00020CF5" w:rsidP="00AD489D">
            <w:pPr>
              <w:spacing w:after="0" w:line="240" w:lineRule="auto"/>
              <w:ind w:left="113" w:right="113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i/>
                <w:iCs/>
                <w:sz w:val="24"/>
                <w:szCs w:val="24"/>
              </w:rPr>
              <w:t>Beépítés módja</w:t>
            </w:r>
          </w:p>
        </w:tc>
        <w:tc>
          <w:tcPr>
            <w:tcW w:w="987" w:type="dxa"/>
            <w:textDirection w:val="btLr"/>
            <w:vAlign w:val="center"/>
          </w:tcPr>
          <w:p w14:paraId="08E0E64A" w14:textId="77777777" w:rsidR="00020CF5" w:rsidRPr="00A9017C" w:rsidRDefault="00020CF5" w:rsidP="00AD489D">
            <w:pPr>
              <w:spacing w:after="0" w:line="240" w:lineRule="auto"/>
              <w:ind w:left="113" w:right="113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i/>
                <w:iCs/>
                <w:sz w:val="24"/>
                <w:szCs w:val="24"/>
              </w:rPr>
              <w:t>Kialakítható telek legkisebb területe</w:t>
            </w:r>
          </w:p>
        </w:tc>
        <w:tc>
          <w:tcPr>
            <w:tcW w:w="808" w:type="dxa"/>
            <w:textDirection w:val="btLr"/>
            <w:vAlign w:val="center"/>
          </w:tcPr>
          <w:p w14:paraId="36EF4D7F" w14:textId="77777777" w:rsidR="00020CF5" w:rsidRPr="00A9017C" w:rsidRDefault="00020CF5" w:rsidP="00AD489D">
            <w:pPr>
              <w:spacing w:after="0" w:line="240" w:lineRule="auto"/>
              <w:ind w:left="113" w:right="113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i/>
                <w:iCs/>
                <w:sz w:val="24"/>
                <w:szCs w:val="24"/>
              </w:rPr>
              <w:t>Beépítettség megengedett legnagyobb mértéke</w:t>
            </w:r>
          </w:p>
        </w:tc>
        <w:tc>
          <w:tcPr>
            <w:tcW w:w="1034" w:type="dxa"/>
            <w:textDirection w:val="btLr"/>
            <w:vAlign w:val="center"/>
          </w:tcPr>
          <w:p w14:paraId="157CC5D9" w14:textId="77777777" w:rsidR="00020CF5" w:rsidRPr="00A9017C" w:rsidRDefault="00020CF5" w:rsidP="00AD489D">
            <w:pPr>
              <w:spacing w:after="0" w:line="240" w:lineRule="auto"/>
              <w:ind w:left="113" w:right="113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Terepszint alatti építés mértéke </w:t>
            </w:r>
          </w:p>
        </w:tc>
        <w:tc>
          <w:tcPr>
            <w:tcW w:w="761" w:type="dxa"/>
            <w:textDirection w:val="btLr"/>
            <w:vAlign w:val="center"/>
          </w:tcPr>
          <w:p w14:paraId="6EBEDEF6" w14:textId="77777777" w:rsidR="00020CF5" w:rsidRPr="00A9017C" w:rsidRDefault="00020CF5" w:rsidP="00AD489D">
            <w:pPr>
              <w:spacing w:after="0" w:line="240" w:lineRule="auto"/>
              <w:ind w:left="113" w:right="113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i/>
                <w:iCs/>
                <w:sz w:val="24"/>
                <w:szCs w:val="24"/>
              </w:rPr>
              <w:t>Terepszint alatti építés helye</w:t>
            </w:r>
          </w:p>
        </w:tc>
        <w:tc>
          <w:tcPr>
            <w:tcW w:w="804" w:type="dxa"/>
            <w:textDirection w:val="btLr"/>
            <w:vAlign w:val="center"/>
          </w:tcPr>
          <w:p w14:paraId="2B7C67FF" w14:textId="77777777" w:rsidR="00020CF5" w:rsidRPr="00A9017C" w:rsidRDefault="00020CF5" w:rsidP="00AD489D">
            <w:pPr>
              <w:spacing w:after="0" w:line="240" w:lineRule="auto"/>
              <w:ind w:left="113" w:right="113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i/>
                <w:iCs/>
                <w:sz w:val="24"/>
                <w:szCs w:val="24"/>
              </w:rPr>
              <w:t>Zöldfelület legkisebb mértéke</w:t>
            </w:r>
          </w:p>
        </w:tc>
        <w:tc>
          <w:tcPr>
            <w:tcW w:w="992" w:type="dxa"/>
            <w:textDirection w:val="btLr"/>
            <w:vAlign w:val="center"/>
          </w:tcPr>
          <w:p w14:paraId="5EAE7960" w14:textId="77777777" w:rsidR="00020CF5" w:rsidRPr="00A9017C" w:rsidRDefault="00020CF5" w:rsidP="00AD489D">
            <w:pPr>
              <w:spacing w:after="0" w:line="240" w:lineRule="auto"/>
              <w:ind w:left="113" w:right="113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i/>
                <w:iCs/>
                <w:sz w:val="24"/>
                <w:szCs w:val="24"/>
              </w:rPr>
              <w:t>Az épületmagasság legnagyobb értéke</w:t>
            </w:r>
          </w:p>
        </w:tc>
        <w:tc>
          <w:tcPr>
            <w:tcW w:w="2120" w:type="dxa"/>
            <w:vMerge/>
            <w:textDirection w:val="btLr"/>
            <w:vAlign w:val="center"/>
          </w:tcPr>
          <w:p w14:paraId="66734C9C" w14:textId="77777777" w:rsidR="00020CF5" w:rsidRPr="00A9017C" w:rsidRDefault="00020CF5" w:rsidP="00AD489D">
            <w:pPr>
              <w:spacing w:after="0" w:line="240" w:lineRule="auto"/>
              <w:ind w:left="113" w:right="113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</w:p>
        </w:tc>
      </w:tr>
      <w:tr w:rsidR="00020CF5" w:rsidRPr="00A9017C" w14:paraId="1BC36397" w14:textId="77777777" w:rsidTr="00AD489D">
        <w:trPr>
          <w:trHeight w:val="250"/>
        </w:trPr>
        <w:tc>
          <w:tcPr>
            <w:tcW w:w="568" w:type="dxa"/>
            <w:vMerge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1422F4F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031DA4F9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14:paraId="234E8B92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987" w:type="dxa"/>
            <w:tcBorders>
              <w:bottom w:val="double" w:sz="4" w:space="0" w:color="auto"/>
            </w:tcBorders>
            <w:vAlign w:val="center"/>
          </w:tcPr>
          <w:p w14:paraId="174D32D7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i/>
                <w:iCs/>
                <w:sz w:val="24"/>
                <w:szCs w:val="24"/>
              </w:rPr>
              <w:t>(m</w:t>
            </w:r>
            <w:r w:rsidRPr="00A9017C">
              <w:rPr>
                <w:rFonts w:ascii="Garamond" w:hAnsi="Garamond" w:cs="Times New Roman"/>
                <w:i/>
                <w:iCs/>
                <w:sz w:val="24"/>
                <w:szCs w:val="24"/>
                <w:vertAlign w:val="superscript"/>
              </w:rPr>
              <w:t>2</w:t>
            </w:r>
            <w:r w:rsidRPr="00A9017C">
              <w:rPr>
                <w:rFonts w:ascii="Garamond" w:hAnsi="Garamond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808" w:type="dxa"/>
            <w:tcBorders>
              <w:bottom w:val="double" w:sz="4" w:space="0" w:color="auto"/>
            </w:tcBorders>
            <w:vAlign w:val="center"/>
          </w:tcPr>
          <w:p w14:paraId="07A42193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1034" w:type="dxa"/>
            <w:tcBorders>
              <w:bottom w:val="double" w:sz="4" w:space="0" w:color="auto"/>
            </w:tcBorders>
            <w:vAlign w:val="center"/>
          </w:tcPr>
          <w:p w14:paraId="3EA8B21C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i/>
                <w:iCs/>
                <w:sz w:val="24"/>
                <w:szCs w:val="24"/>
              </w:rPr>
              <w:t>(%)</w:t>
            </w:r>
          </w:p>
        </w:tc>
        <w:tc>
          <w:tcPr>
            <w:tcW w:w="761" w:type="dxa"/>
            <w:tcBorders>
              <w:bottom w:val="double" w:sz="4" w:space="0" w:color="auto"/>
            </w:tcBorders>
            <w:vAlign w:val="center"/>
          </w:tcPr>
          <w:p w14:paraId="68C5AE5E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804" w:type="dxa"/>
            <w:tcBorders>
              <w:bottom w:val="double" w:sz="4" w:space="0" w:color="auto"/>
            </w:tcBorders>
            <w:vAlign w:val="center"/>
          </w:tcPr>
          <w:p w14:paraId="02BF2FF5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i/>
                <w:iCs/>
                <w:sz w:val="24"/>
                <w:szCs w:val="24"/>
              </w:rPr>
              <w:t xml:space="preserve">(%) </w:t>
            </w:r>
          </w:p>
        </w:tc>
        <w:tc>
          <w:tcPr>
            <w:tcW w:w="992" w:type="dxa"/>
            <w:tcBorders>
              <w:bottom w:val="double" w:sz="4" w:space="0" w:color="auto"/>
            </w:tcBorders>
            <w:vAlign w:val="center"/>
          </w:tcPr>
          <w:p w14:paraId="7B9F7B61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i/>
                <w:iCs/>
                <w:sz w:val="24"/>
                <w:szCs w:val="24"/>
              </w:rPr>
              <w:t>(m)</w:t>
            </w:r>
          </w:p>
        </w:tc>
        <w:tc>
          <w:tcPr>
            <w:tcW w:w="2120" w:type="dxa"/>
            <w:vMerge/>
            <w:tcBorders>
              <w:bottom w:val="double" w:sz="4" w:space="0" w:color="auto"/>
            </w:tcBorders>
            <w:vAlign w:val="center"/>
          </w:tcPr>
          <w:p w14:paraId="304D2CFB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</w:p>
        </w:tc>
      </w:tr>
      <w:tr w:rsidR="00020CF5" w:rsidRPr="00A9017C" w14:paraId="5A45B3FF" w14:textId="77777777" w:rsidTr="00AD489D">
        <w:tc>
          <w:tcPr>
            <w:tcW w:w="568" w:type="dxa"/>
            <w:tcBorders>
              <w:right w:val="double" w:sz="4" w:space="0" w:color="auto"/>
            </w:tcBorders>
            <w:vAlign w:val="center"/>
          </w:tcPr>
          <w:p w14:paraId="31D0597E" w14:textId="77777777" w:rsidR="00020CF5" w:rsidRPr="00A9017C" w:rsidRDefault="00020CF5" w:rsidP="00AD489D">
            <w:pPr>
              <w:spacing w:after="6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left w:val="double" w:sz="4" w:space="0" w:color="auto"/>
            </w:tcBorders>
            <w:vAlign w:val="center"/>
          </w:tcPr>
          <w:p w14:paraId="2106151C" w14:textId="77777777" w:rsidR="00020CF5" w:rsidRPr="00A9017C" w:rsidRDefault="00020CF5" w:rsidP="00AD489D">
            <w:pPr>
              <w:spacing w:after="60" w:line="240" w:lineRule="auto"/>
              <w:jc w:val="center"/>
              <w:rPr>
                <w:rFonts w:ascii="Garamond" w:hAnsi="Garamond" w:cs="Times New Roman"/>
                <w:b/>
                <w:bCs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b/>
                <w:bCs/>
                <w:sz w:val="24"/>
                <w:szCs w:val="24"/>
              </w:rPr>
              <w:t>Vt/6</w:t>
            </w:r>
          </w:p>
        </w:tc>
        <w:tc>
          <w:tcPr>
            <w:tcW w:w="709" w:type="dxa"/>
            <w:gridSpan w:val="2"/>
            <w:vAlign w:val="center"/>
          </w:tcPr>
          <w:p w14:paraId="0164A0F4" w14:textId="77777777" w:rsidR="00020CF5" w:rsidRPr="00A9017C" w:rsidRDefault="00020CF5" w:rsidP="00AD489D">
            <w:pPr>
              <w:spacing w:after="6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sz w:val="24"/>
                <w:szCs w:val="24"/>
              </w:rPr>
              <w:t>O/SZ</w:t>
            </w:r>
          </w:p>
        </w:tc>
        <w:tc>
          <w:tcPr>
            <w:tcW w:w="987" w:type="dxa"/>
            <w:vAlign w:val="center"/>
          </w:tcPr>
          <w:p w14:paraId="0C7F5296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sz w:val="24"/>
                <w:szCs w:val="24"/>
              </w:rPr>
              <w:t>1.000</w:t>
            </w:r>
          </w:p>
        </w:tc>
        <w:tc>
          <w:tcPr>
            <w:tcW w:w="808" w:type="dxa"/>
            <w:vAlign w:val="center"/>
          </w:tcPr>
          <w:p w14:paraId="0B9002D6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sz w:val="24"/>
                <w:szCs w:val="24"/>
              </w:rPr>
              <w:t>30</w:t>
            </w:r>
          </w:p>
        </w:tc>
        <w:tc>
          <w:tcPr>
            <w:tcW w:w="1034" w:type="dxa"/>
            <w:vAlign w:val="center"/>
          </w:tcPr>
          <w:p w14:paraId="2EC98F84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sz w:val="24"/>
                <w:szCs w:val="24"/>
              </w:rPr>
              <w:t>35</w:t>
            </w:r>
          </w:p>
        </w:tc>
        <w:tc>
          <w:tcPr>
            <w:tcW w:w="761" w:type="dxa"/>
            <w:vAlign w:val="center"/>
          </w:tcPr>
          <w:p w14:paraId="05938CE4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sz w:val="24"/>
                <w:szCs w:val="24"/>
              </w:rPr>
              <w:t>Éh</w:t>
            </w:r>
          </w:p>
        </w:tc>
        <w:tc>
          <w:tcPr>
            <w:tcW w:w="804" w:type="dxa"/>
            <w:vAlign w:val="center"/>
          </w:tcPr>
          <w:p w14:paraId="0890BF11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vAlign w:val="center"/>
          </w:tcPr>
          <w:p w14:paraId="33FE9BCC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sz w:val="24"/>
                <w:szCs w:val="24"/>
              </w:rPr>
            </w:pPr>
            <w:r w:rsidRPr="00A9017C">
              <w:rPr>
                <w:rFonts w:ascii="Garamond" w:hAnsi="Garamond" w:cs="Times New Roman"/>
                <w:sz w:val="24"/>
                <w:szCs w:val="24"/>
              </w:rPr>
              <w:t>7,5</w:t>
            </w:r>
          </w:p>
        </w:tc>
        <w:tc>
          <w:tcPr>
            <w:tcW w:w="2120" w:type="dxa"/>
            <w:vAlign w:val="center"/>
          </w:tcPr>
          <w:p w14:paraId="49ABAE2C" w14:textId="77777777" w:rsidR="00020CF5" w:rsidRPr="00A9017C" w:rsidRDefault="00020CF5" w:rsidP="00AD489D">
            <w:pPr>
              <w:spacing w:after="0" w:line="240" w:lineRule="auto"/>
              <w:jc w:val="center"/>
              <w:rPr>
                <w:rFonts w:ascii="Garamond" w:hAnsi="Garamond" w:cs="Times New Roman"/>
                <w:i/>
                <w:iCs/>
                <w:sz w:val="24"/>
                <w:szCs w:val="24"/>
              </w:rPr>
            </w:pPr>
          </w:p>
        </w:tc>
      </w:tr>
    </w:tbl>
    <w:p w14:paraId="3F173646" w14:textId="77777777" w:rsidR="00020CF5" w:rsidRPr="003A676C" w:rsidRDefault="00020CF5" w:rsidP="00020CF5">
      <w:pPr>
        <w:rPr>
          <w:rFonts w:ascii="Garamond" w:hAnsi="Garamond"/>
        </w:rPr>
      </w:pPr>
    </w:p>
    <w:p w14:paraId="2FCC7FD2" w14:textId="77777777" w:rsidR="00020CF5" w:rsidRDefault="00020CF5"/>
    <w:sectPr w:rsidR="00020CF5"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B867B7"/>
    <w:multiLevelType w:val="multilevel"/>
    <w:tmpl w:val="28C8D0EE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CF5"/>
    <w:rsid w:val="00020CF5"/>
    <w:rsid w:val="004A3A1D"/>
    <w:rsid w:val="00600E25"/>
    <w:rsid w:val="008E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93B59"/>
  <w15:chartTrackingRefBased/>
  <w15:docId w15:val="{B4DCB136-6057-421B-AA00-3A43E45DD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rsid w:val="00020CF5"/>
    <w:rPr>
      <w:rFonts w:ascii="Calibri" w:eastAsia="Calibri" w:hAnsi="Calibri" w:cs="Calibri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aliases w:val="List Paragraph à moi,Listaszerű bekezdés 1,List Paragraph,Welt L Char,Welt L,Bullet List,FooterText,numbered,Paragraphe de liste1,Bulletr List Paragraph,列出段落,列出段落1,Listeafsnit1,Parágrafo da Lista1,List Paragraph2,List Paragraph21"/>
    <w:basedOn w:val="Norml"/>
    <w:link w:val="ListaszerbekezdsChar"/>
    <w:uiPriority w:val="34"/>
    <w:qFormat/>
    <w:rsid w:val="00020CF5"/>
    <w:pPr>
      <w:ind w:left="720"/>
      <w:contextualSpacing/>
    </w:pPr>
  </w:style>
  <w:style w:type="character" w:customStyle="1" w:styleId="ListaszerbekezdsChar">
    <w:name w:val="Listaszerű bekezdés Char"/>
    <w:aliases w:val="List Paragraph à moi Char,Listaszerű bekezdés 1 Char,List Paragraph Char,Welt L Char Char,Welt L Char1,Bullet List Char,FooterText Char,numbered Char,Paragraphe de liste1 Char,Bulletr List Paragraph Char,列出段落 Char,列出段落1 Char"/>
    <w:basedOn w:val="Bekezdsalapbettpusa"/>
    <w:link w:val="Listaszerbekezds"/>
    <w:uiPriority w:val="34"/>
    <w:locked/>
    <w:rsid w:val="00020CF5"/>
    <w:rPr>
      <w:rFonts w:ascii="Calibri" w:eastAsia="Calibri" w:hAnsi="Calibri" w:cs="Calibri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567</Words>
  <Characters>3915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Gabay Anett</dc:creator>
  <cp:keywords/>
  <dc:description/>
  <cp:lastModifiedBy>Gabay Anett</cp:lastModifiedBy>
  <cp:revision>3</cp:revision>
  <cp:lastPrinted>2021-05-05T09:30:00Z</cp:lastPrinted>
  <dcterms:created xsi:type="dcterms:W3CDTF">2021-05-05T08:51:00Z</dcterms:created>
  <dcterms:modified xsi:type="dcterms:W3CDTF">2021-05-05T09:42:00Z</dcterms:modified>
</cp:coreProperties>
</file>