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Kerékpáros KRESZ szabályok</w:t>
      </w:r>
    </w:p>
    <w:p w:rsid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13.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4" w:anchor="lbj45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utasítást adó jelzőtáblák: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</w:t>
      </w:r>
      <w:hyperlink r:id="rId5" w:anchor="lbj46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„Kötelező haladási irány” (17-19. ábra); a tábla azt jelzi, hogy az útkereszteződésben a táblán lévő nyíl (nyilak) által jelzett irányban (irányok valamelyikében) kell továbbhaladni. A tábla alatt elhelyezett autóbuszt vagy kerékpárt és nyilat (nyilakat) mutató kiegészítő tábla (18/d. ábra) azt jelzi, hogy a menetrend szerint közlekedő autóbusz vagy a kerékpáros a jármű jelképét feltüntető kiegészítő táblán lévő nyíl (nyilak) által jelzett irányban haladhat tovább.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25.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</w:t>
      </w:r>
      <w:hyperlink r:id="rId6" w:anchor="lbj48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„Kerékpárút” (26. ábra); a tábla a kétkerekű kerékpárok közlekedésére kijelölt utat jelez; a segédmotoros rokkantkocsi, a gépi meghajtású kerekes szék és a kétkerekű segédmotoros kerékpár lakott területen kívül a kerékpárutat igénybe veheti, ha ezt jelzőtábla nem tiltja. A kerékpárúton más jármű közlekedése tilos;</w:t>
      </w:r>
    </w:p>
    <w:p w:rsidR="00041C74" w:rsidRDefault="00041C74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041C74" w:rsidRPr="005D6D76" w:rsidRDefault="00041C74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1C74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1" name="Kép 1" descr="C:\Users\takacsj.SZENTENDRE\Pictures\k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csj.SZENTENDRE\Pictures\kn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f)</w:t>
      </w:r>
      <w:hyperlink r:id="rId8" w:anchor="lbj49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„Kerékpárút vége” (26/a. ábra);</w:t>
      </w:r>
    </w:p>
    <w:p w:rsidR="00041C74" w:rsidRDefault="00041C74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041C74" w:rsidRPr="005D6D76" w:rsidRDefault="00041C74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1C74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2" name="Kép 2" descr="C:\Users\takacsj.SZENTENDRE\Pictures\k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csj.SZENTENDRE\Pictures\kng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26/a. ábra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i)</w:t>
      </w:r>
      <w:hyperlink r:id="rId10" w:anchor="lbj52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„Gyalog- és kerékpárút” (26/d. ábra); a gyalogos, a kerekes szék és a kétkerekű kerékpár közlekedésére kijelölt út. Ha a gyalogos és a kerékpáros forgalmat burkolati jel választja el (26/e. ábra), a gyalogos és a kerékpáros csak az útnak a részére kijelölt részén közlekedhet;</w:t>
      </w:r>
    </w:p>
    <w:p w:rsid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D205C" w:rsidRPr="005D6D76" w:rsidRDefault="004D205C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205C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3" name="Kép 3" descr="C:\Users\takacsj.SZENTENDRE\Pictures\k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csj.SZENTENDRE\Pictures\kng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26/d. ábra</w:t>
      </w:r>
    </w:p>
    <w:p w:rsidR="005D6D76" w:rsidRPr="005D6D76" w:rsidRDefault="004D205C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D205C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4" name="Kép 4" descr="C:\Users\takacsj.SZENTENDRE\Pictures\k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csj.SZENTENDRE\Pictures\kng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26/e.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j)</w:t>
      </w:r>
      <w:hyperlink r:id="rId13" w:anchor="lbj53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„Gyalog- és kerékpárút vége” (26/f. és 26/g. ábra).</w:t>
      </w:r>
    </w:p>
    <w:p w:rsidR="00710032" w:rsidRDefault="00710032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710032" w:rsidRPr="005D6D76" w:rsidRDefault="00710032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10032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6" name="Kép 6" descr="C:\Users\takacsj.SZENTENDRE\Pictures\k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csj.SZENTENDRE\Pictures\kng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26/f. ábra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  <w:r w:rsidR="00710032" w:rsidRPr="00710032">
        <w:rPr>
          <w:rFonts w:ascii="Calibri" w:eastAsia="Times New Roman" w:hAnsi="Calibri" w:cs="Calibri"/>
          <w:noProof/>
          <w:color w:val="1F497D"/>
          <w:lang w:eastAsia="hu-HU"/>
        </w:rPr>
        <w:drawing>
          <wp:inline distT="0" distB="0" distL="0" distR="0">
            <wp:extent cx="951230" cy="951230"/>
            <wp:effectExtent l="0" t="0" r="1270" b="1270"/>
            <wp:docPr id="5" name="Kép 5" descr="C:\Users\takacsj.SZENTENDRE\Pictures\k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acsj.SZENTENDRE\Pictures\kng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i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16" w:anchor="lbj56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 „Gyalogos és kerékpáros övezet (zóna)” (26/j. ábra); a jelzőtábla olyan terület kezdetét jelzi, amelynek útjai a gyalogosok és a kerékpárosok közlekedésére szolgálnak, egyéb jármű közlekedése az övezetben tilos. Kerékpárosoknak, az út számukra burkolati jellel elválasztott vagy eltérő színű burkolattal megjelölt részén kell közlekedni, legfeljebb 20 km/óra sebességgel. Az út egyéb részein a kerékpárosok - a gyalogosok veszélyeztetése nélkül - legfeljebb 10 km/óra sebességgel közlekedhetnek. 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A kerékpárosok számára kijelölt útfelületen a gyalogosok nem közlekedhetnek. Ha a jelzőtábla alatt időszakot megjelölő kiegészítő tábla van - a jelzett időszakon kívül - az ott lakók járművei és a közútkezelő engedélyével rendelkezők járművei az övezetben legfeljebb 10 km/óra sebességgel közlekedhetnek. A kiegészítő táblán jelzett időszakban az övezetben a várakozás tilos. A mozgáskorlátozott személyt szállító jármű - amennyiben ennek feltételei adottak - az övezetben közlekedhet és várakozhat.</w:t>
      </w:r>
    </w:p>
    <w:p w:rsid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10032" w:rsidRDefault="00710032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10032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1192530"/>
            <wp:effectExtent l="0" t="0" r="1270" b="7620"/>
            <wp:docPr id="7" name="Kép 7" descr="C:\Users\takacsj.SZENTENDRE\Pictures\k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kacsj.SZENTENDRE\Pictures\kn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32" w:rsidRPr="005D6D76" w:rsidRDefault="00710032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26/j. ábra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j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18" w:anchor="lbj57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„Gyalogos és kerékpáros övezet (zóna) vége” (26/k. ábra)</w:t>
      </w:r>
    </w:p>
    <w:p w:rsid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10032" w:rsidRDefault="00710032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10032" w:rsidRDefault="00710032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10032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1192530"/>
            <wp:effectExtent l="0" t="0" r="1270" b="7620"/>
            <wp:docPr id="8" name="Kép 8" descr="C:\Users\takacsj.SZENTENDRE\Pictures\k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kacsj.SZENTENDRE\Pictures\kng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32" w:rsidRPr="005D6D76" w:rsidRDefault="00710032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26/k. ábra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75" w:line="48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A járművek forgalmára vonatkozó tilalmi jelzőtáblák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14.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járművek forgalmát tiltó vagy korlátozó jelzőtáblák: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v)</w:t>
      </w:r>
      <w:hyperlink r:id="rId20" w:anchor="lbj72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„Kerékpárral behajtani tilos” (49. ábra);</w:t>
      </w:r>
    </w:p>
    <w:p w:rsid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82056" w:rsidRDefault="0048205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82056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9" name="Kép 9" descr="C:\Users\takacsj.SZENTENDRE\Pictures\k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kacsj.SZENTENDRE\Pictures\kng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56" w:rsidRPr="005D6D76" w:rsidRDefault="0048205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49.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Ha a jelzőtáblán az (1)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o)-x)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pontjában említett táblák jelképei közül több van feltüntetve, az útra a jelképekkel jelzett valamennyi járművel tilos behajtani (54., 55. ábra).</w:t>
      </w:r>
    </w:p>
    <w:p w:rsidR="004318A6" w:rsidRDefault="004318A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4318A6" w:rsidRPr="005D6D76" w:rsidRDefault="004318A6" w:rsidP="002F768E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318A6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10" name="Kép 10" descr="C:\Users\takacsj.SZENTENDRE\Pictures\k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kacsj.SZENTENDRE\Pictures\kng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54. ábra</w:t>
      </w:r>
    </w:p>
    <w:p w:rsidR="004318A6" w:rsidRPr="005D6D76" w:rsidRDefault="004318A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4318A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318A6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11" name="Kép 11" descr="C:\Users\takacsj.SZENTENDRE\Pictures\k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kacsj.SZENTENDRE\Pictures\kng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55. ábra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shd w:val="clear" w:color="auto" w:fill="FFFFFF"/>
          <w:lang w:eastAsia="hu-HU"/>
        </w:rPr>
        <w:t>(14)</w:t>
      </w:r>
      <w:hyperlink r:id="rId24" w:anchor="lbj89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shd w:val="clear" w:color="auto" w:fill="FFFFFF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shd w:val="clear" w:color="auto" w:fill="FFFFFF"/>
          <w:lang w:eastAsia="hu-HU"/>
        </w:rPr>
        <w:t> Ha az (1)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shd w:val="clear" w:color="auto" w:fill="FFFFFF"/>
          <w:lang w:eastAsia="hu-HU"/>
        </w:rPr>
        <w:t>n) </w:t>
      </w:r>
      <w:r w:rsidRPr="005D6D76">
        <w:rPr>
          <w:rFonts w:ascii="Arial" w:eastAsia="Times New Roman" w:hAnsi="Arial" w:cs="Arial"/>
          <w:color w:val="474747"/>
          <w:sz w:val="27"/>
          <w:szCs w:val="27"/>
          <w:shd w:val="clear" w:color="auto" w:fill="FFFFFF"/>
          <w:lang w:eastAsia="hu-HU"/>
        </w:rPr>
        <w:t>pontjában említett jelzőtábla alatt „Kivéve engedéllyel”, „Kivéve taxi”, vagy „Kivéve ..... (tömegközlekedési vállalat)” feliratú kiegészítő tábla van, az útra engedéllyel rendelkező vagy a kiegészítő táblán feltüntetett járművel, továbbá kerékpárral és állati erővel vont járművel szabad behajtani. Az engedélyt az út kezelője adja ki, a korlátozással érintett területen lakó, ott telephellyel rendelkező, vagy oda (onnan) áruszállítást végző természetes személy és jogi személy részére. A (12) bekezdésben meghatározott behajtási tilalom alól az út kezelője felmentést adhat.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423280" w:rsidRDefault="005D6D76" w:rsidP="0042328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Calibri" w:eastAsia="Times New Roman" w:hAnsi="Calibri" w:cs="Calibri"/>
          <w:color w:val="1F497D"/>
          <w:lang w:eastAsia="hu-HU"/>
        </w:rPr>
        <w:t>        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(15)</w:t>
      </w:r>
      <w:hyperlink r:id="rId25" w:anchor="lbj90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Ha az (1)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n)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z)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pontjában említett jelzőtábla alatt az 59/a. ábra szerinti kiegészítő táblán autóbuszt és/vagy kerékpárt mutató ábra van, a jelzőtáblával jelzett tilalom a menetrend szerint közlekedő autóbuszra és/vagy kerékpárra nem vonatkozik.</w:t>
      </w:r>
    </w:p>
    <w:p w:rsidR="00423280" w:rsidRPr="005D6D76" w:rsidRDefault="00423280" w:rsidP="0042328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23280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lastRenderedPageBreak/>
        <w:drawing>
          <wp:inline distT="0" distB="0" distL="0" distR="0">
            <wp:extent cx="951230" cy="951230"/>
            <wp:effectExtent l="0" t="0" r="1270" b="1270"/>
            <wp:docPr id="12" name="Kép 12" descr="C:\Users\takacsj.SZENTENDRE\Pictures\k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kacsj.SZENTENDRE\Pictures\kng1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59/a. ábra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75" w:line="48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Tájékoztatást adó jelzőtáblák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17.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tájékoztatást adó jelzőtáblák a következők: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27" w:anchor="lbj115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„Zsákutca kerékpáros továbbhaladási lehetőséggel” (106/a. ábra); a tábla azt jelzi, hogy kerékpáros részére a továbbhaladás lehetősége biztosított.</w:t>
      </w:r>
    </w:p>
    <w:p w:rsidR="00423280" w:rsidRPr="005D6D76" w:rsidRDefault="00423280" w:rsidP="0042328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23280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13" name="Kép 13" descr="C:\Users\takacsj.SZENTENDRE\Pictures\kn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kacsj.SZENTENDRE\Pictures\kng1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29" w:anchor="lbj122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„Kerékpáros közvetett kapcsolat” (116/a. ábra); a tábla azt jelzi, hogy az útkereszteződésnél a kerékpárosnak, amennyiben balra kíván továbbhaladni, a kerékpárról leszállva, a keresztező út menetirány szerinti jobb oldalán közlekedő járművekhez kell besorolnia és az útkereszteződésen áthaladnia.</w:t>
      </w:r>
    </w:p>
    <w:p w:rsidR="00393AFD" w:rsidRPr="005D6D76" w:rsidRDefault="00393AFD" w:rsidP="00393AF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93AFD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14" name="Kép 14" descr="C:\Users\takacsj.SZENTENDRE\Pictures\kn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kacsj.SZENTENDRE\Pictures\kng1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g)</w:t>
      </w:r>
      <w:hyperlink r:id="rId31" w:anchor="lbj123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„Autóbusz forgalmi sáv” (117. ábra); a tábla az autóbusz forgalmi sáv kezdetét, az úttesten történő elhelyezkedését és a rajta közlekedők haladási irányát jelzi;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32" w:anchor="lbj124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„Kerékpársáv” (117/a. ábra); a tábla a kerékpársáv úttesten történő elhelyezkedését és a közlekedők haladási irányát jelzi;</w:t>
      </w:r>
    </w:p>
    <w:p w:rsidR="00393AFD" w:rsidRPr="005D6D76" w:rsidRDefault="00393AFD" w:rsidP="00393AF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93AFD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lastRenderedPageBreak/>
        <w:drawing>
          <wp:inline distT="0" distB="0" distL="0" distR="0">
            <wp:extent cx="1426210" cy="1426210"/>
            <wp:effectExtent l="0" t="0" r="2540" b="2540"/>
            <wp:docPr id="15" name="Kép 15" descr="C:\Users\takacsj.SZENTENDRE\Pictures\kn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akacsj.SZENTENDRE\Pictures\kng1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117. ábra</w:t>
      </w:r>
    </w:p>
    <w:p w:rsidR="005D6D76" w:rsidRPr="005D6D76" w:rsidRDefault="00393AFD" w:rsidP="00393AFD">
      <w:pPr>
        <w:shd w:val="clear" w:color="auto" w:fill="FFFFFF"/>
        <w:spacing w:after="75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93AFD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16" name="Kép 16" descr="C:\Users\takacsj.SZENTENDRE\Pictures\kn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kacsj.SZENTENDRE\Pictures\kng1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/2.</w:t>
      </w:r>
      <w:hyperlink r:id="rId35" w:anchor="lbj125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„Kerékpársáv vége” (117/b. ábra):</w:t>
      </w:r>
    </w:p>
    <w:p w:rsidR="0084650F" w:rsidRPr="005D6D76" w:rsidRDefault="0084650F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84650F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4650F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20" name="Kép 20" descr="C:\Users\takacsj.SZENTENDRE\Pictures\k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csj.SZENTENDRE\Pictures\kng2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117/b.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/3.</w:t>
      </w:r>
      <w:hyperlink r:id="rId37" w:anchor="lbj126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„Kerékpárosok által is használható autóbusz forgalmi sáv” (117/c. ábra); a tábla azt jelzi, hogy az autóbusz forgalmi sávon a kerékpárosok közlekedése is megengedett.</w:t>
      </w:r>
    </w:p>
    <w:p w:rsidR="008F6BC9" w:rsidRDefault="008F6BC9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bookmarkStart w:id="0" w:name="_GoBack"/>
      <w:bookmarkEnd w:id="0"/>
    </w:p>
    <w:p w:rsidR="00B37698" w:rsidRPr="005D6D76" w:rsidRDefault="00B37698" w:rsidP="00B3769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37698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426210" cy="1426210"/>
            <wp:effectExtent l="0" t="0" r="2540" b="2540"/>
            <wp:docPr id="17" name="Kép 17" descr="C:\Users\takacsj.SZENTENDRE\Pictures\kng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kacsj.SZENTENDRE\Pictures\kng1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117/c.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/4.</w:t>
      </w:r>
      <w:hyperlink r:id="rId39" w:anchor="lbj127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„Út melletti kerékpárút” (117/d. és 117/e. ábra):</w:t>
      </w:r>
    </w:p>
    <w:p w:rsidR="00B01536" w:rsidRPr="005D6D76" w:rsidRDefault="00B01536" w:rsidP="00B0153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01536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lastRenderedPageBreak/>
        <w:drawing>
          <wp:inline distT="0" distB="0" distL="0" distR="0">
            <wp:extent cx="1141095" cy="1426210"/>
            <wp:effectExtent l="0" t="0" r="1905" b="2540"/>
            <wp:docPr id="22" name="Kép 22" descr="C:\Users\takacsj.SZENTENDRE\Pictures\kng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csj.SZENTENDRE\Pictures\kng2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117/d. ábra</w:t>
      </w:r>
    </w:p>
    <w:p w:rsidR="005D6D76" w:rsidRPr="005D6D76" w:rsidRDefault="007113D4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113D4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18" name="Kép 18" descr="C:\Users\takacsj.SZENTENDRE\Pictures\k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kacsj.SZENTENDRE\Pictures\kng2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117/e.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/5.</w:t>
      </w:r>
      <w:hyperlink r:id="rId42" w:anchor="lbj128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„Út melletti kerékpárút vége” (117/f. ábra):</w:t>
      </w:r>
    </w:p>
    <w:p w:rsidR="001B330A" w:rsidRDefault="001B330A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6F1864" w:rsidRPr="005D6D76" w:rsidRDefault="001B330A" w:rsidP="006F186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B330A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23" name="Kép 23" descr="C:\Users\takacsj.SZENTENDRE\Pictures\kng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csj.SZENTENDRE\Pictures\kng2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117/f. ábra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g/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</w:t>
      </w:r>
      <w:hyperlink r:id="rId44" w:anchor="lbj129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„Nyitott kerékpársáv” (117/g. ábra); a tábla a kerékpárosok egyirányú közlekedésére kijelölt kerékpársáv úttesten történő elhelyezkedését jelzi;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g/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7.</w:t>
      </w:r>
      <w:hyperlink r:id="rId45" w:anchor="lbj130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„Nyitott kerékpársáv vége” (117/h. ábra):</w:t>
      </w:r>
    </w:p>
    <w:p w:rsidR="001B330A" w:rsidRPr="005D6D76" w:rsidRDefault="001B330A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1B330A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B330A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141095" cy="1426210"/>
            <wp:effectExtent l="0" t="0" r="1905" b="2540"/>
            <wp:docPr id="24" name="Kép 24" descr="C:\Users\takacsj.SZENTENDRE\Pictures\kng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acsj.SZENTENDRE\Pictures\kng2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117/g. ábra</w:t>
      </w:r>
    </w:p>
    <w:p w:rsidR="001B330A" w:rsidRPr="005D6D76" w:rsidRDefault="001B330A" w:rsidP="001B33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B330A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lastRenderedPageBreak/>
        <w:drawing>
          <wp:inline distT="0" distB="0" distL="0" distR="0">
            <wp:extent cx="1141095" cy="1426210"/>
            <wp:effectExtent l="0" t="0" r="1905" b="2540"/>
            <wp:docPr id="25" name="Kép 25" descr="C:\Users\takacsj.SZENTENDRE\Pictures\kng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csj.SZENTENDRE\Pictures\kng2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117/h. ábra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75" w:line="48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Útburkolati jelek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18.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Az útburkolati jelek: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h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/1.</w:t>
      </w:r>
      <w:hyperlink r:id="rId48" w:anchor="lbj147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„Előretolt kerékpáros felálló hely a balra bekanyarodó kerékpárosok számára” (153/a. ábra); a forgalomirányító fényjelző készülékkel szabályozott útkereszteződésben az út jobb szélén kijelölt kerékpáros nyomon (158/k. ábra) vagy a kerékpársávon oda érkező és balra bekanyarodó kétkerekű kerékpárok a megállás helyét jelölő vonalak közötti, kerékpárt mutató sárga színű útburkolati jellel (158/i. ábra) megjelölt úttestre csak a járművek forgalmát irányító fényjelző készülék piros fényjelzésének időtartamában szabad - a 36. § (12) bekezdésében foglaltak és a besorolás általános szabályai szerint - a többi jármű elé besorolva a továbbhaladáshoz felkészülni;</w:t>
      </w:r>
    </w:p>
    <w:p w:rsidR="00AB1244" w:rsidRDefault="00AB1244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AB1244" w:rsidRPr="005D6D76" w:rsidRDefault="00AB1244" w:rsidP="00AB124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B1244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951230"/>
            <wp:effectExtent l="0" t="0" r="1270" b="1270"/>
            <wp:docPr id="26" name="Kép 26" descr="C:\Users\takacsj.SZENTENDRE\Pictures\kng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kacsj.SZENTENDRE\Pictures\kng2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153/a. ábra</w:t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p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/2.</w:t>
      </w:r>
      <w:hyperlink r:id="rId50" w:anchor="lbj152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„Kerékpárosok közlekedésére kijelölt úttest” (158/i. ábra):</w:t>
      </w:r>
    </w:p>
    <w:p w:rsidR="006059D9" w:rsidRPr="005D6D76" w:rsidRDefault="006059D9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6059D9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951230" cy="760730"/>
            <wp:effectExtent l="0" t="0" r="1270" b="1270"/>
            <wp:docPr id="19" name="Kép 19" descr="C:\Users\takacsj.SZENTENDRE\Pictures\kng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akacsj.SZENTENDRE\Pictures\kng21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(9)</w:t>
      </w:r>
      <w:hyperlink r:id="rId52" w:anchor="lbj161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úttesten, burkolati jellel kijelölt kerékpáros nyom (158/k. ábra) jelzi a kerékpárosok részére az úttesten történő haladásra ajánlott útfelületet. Az így megjelölt úttesten fokozottan számolni kell kerékpárosok közlekedésével.</w:t>
      </w:r>
    </w:p>
    <w:p w:rsidR="00312AC6" w:rsidRDefault="00312AC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:rsidR="00312AC6" w:rsidRDefault="00312AC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12AC6"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475615" cy="760730"/>
            <wp:effectExtent l="0" t="0" r="635" b="1270"/>
            <wp:docPr id="27" name="Kép 27" descr="C:\Users\takacsj.SZENTENDRE\Pictures\kng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kacsj.SZENTENDRE\Pictures\kng2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6" w:rsidRPr="005D6D76" w:rsidRDefault="00312AC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D6D76" w:rsidRPr="005D6D76" w:rsidRDefault="005D6D76" w:rsidP="005D6D76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158/k. ábra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(10)</w:t>
      </w:r>
      <w:hyperlink r:id="rId54" w:anchor="lbj162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nyitott kerékpársávot - amely a kerékpárosok közlekedésére kijelölt sáv - az úttesten felfestett fehér színű szaggatott vonal és kerékpárt mutató burkolati jel is jelzi. A nyitott kerékpársávot - az egy irányban vagy egymással szemben közlekedő járművek egymás mellett történő elhaladás ezt szükségessé teszi - más járművek is igénybe vehetik, az irányváltoztatásra vonatkozó szabályok megtartása mellett. A jobbra bekanyarodást a nyitott kerékpársávról kell végrehajtani. A kerékpáros balra </w:t>
      </w:r>
      <w:r w:rsidRPr="005D6D76">
        <w:rPr>
          <w:rFonts w:ascii="Arial" w:eastAsia="Times New Roman" w:hAnsi="Arial" w:cs="Arial"/>
          <w:color w:val="474747"/>
          <w:sz w:val="27"/>
          <w:szCs w:val="27"/>
          <w:shd w:val="clear" w:color="auto" w:fill="FFFFFF"/>
          <w:lang w:eastAsia="hu-HU"/>
        </w:rPr>
        <w:t>bekanyarodásra történő felkészülés céljából, vagy ha a nyitott kerékpársáv megszűnik, a nyitott kerékpársávot elhagyhatja.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5D6D76" w:rsidRPr="005D6D76" w:rsidRDefault="005D6D76" w:rsidP="005D6D76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Sebesség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26.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Az egyes járművekkel - ha e rendelet másként nem rendelkezik - legfeljebb a következő sebességgel szabad közlekedni:</w:t>
      </w:r>
      <w:hyperlink r:id="rId55" w:anchor="lbj188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tbl>
      <w:tblPr>
        <w:tblW w:w="16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1783"/>
        <w:gridCol w:w="180"/>
        <w:gridCol w:w="1695"/>
        <w:gridCol w:w="1919"/>
      </w:tblGrid>
      <w:tr w:rsidR="005D6D76" w:rsidRPr="005D6D76" w:rsidTr="007F7A4D">
        <w:tc>
          <w:tcPr>
            <w:tcW w:w="10773" w:type="dxa"/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D6D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7F7A4D" w:rsidRPr="005D6D76" w:rsidTr="007F7A4D">
        <w:tc>
          <w:tcPr>
            <w:tcW w:w="10773" w:type="dxa"/>
            <w:shd w:val="clear" w:color="auto" w:fill="FFFFFF"/>
            <w:vAlign w:val="center"/>
          </w:tcPr>
          <w:p w:rsidR="007F7A4D" w:rsidRPr="005D6D76" w:rsidRDefault="007F7A4D" w:rsidP="005D6D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FFFFFF"/>
            <w:vAlign w:val="center"/>
          </w:tcPr>
          <w:p w:rsidR="007F7A4D" w:rsidRPr="005D6D76" w:rsidRDefault="007F7A4D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5D6D76" w:rsidRPr="005D6D76" w:rsidTr="007F7A4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D76" w:rsidRDefault="007F7A4D" w:rsidP="005D6D76">
            <w:pPr>
              <w:spacing w:after="0" w:line="240" w:lineRule="auto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  <w:shd w:val="clear" w:color="auto" w:fill="FFFFFF"/>
              </w:rPr>
              <w:t>da)</w:t>
            </w:r>
            <w:hyperlink r:id="rId56" w:anchor="lbj194id8f59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i/>
                  <w:iCs/>
                  <w:color w:val="005B92"/>
                  <w:sz w:val="16"/>
                  <w:szCs w:val="16"/>
                  <w:shd w:val="clear" w:color="auto" w:fill="FFFFFF"/>
                  <w:vertAlign w:val="superscript"/>
                </w:rPr>
                <w:t> * </w:t>
              </w:r>
            </w:hyperlink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lakott területen kívül kerékpárral, ha a kerékpárt hajtó kerékpáros fejvédő sisakot visel és utast nem szállít:</w:t>
            </w:r>
          </w:p>
          <w:p w:rsidR="007F7A4D" w:rsidRDefault="007F7A4D" w:rsidP="005D6D76">
            <w:pPr>
              <w:spacing w:after="0" w:line="240" w:lineRule="auto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50 km/óra</w:t>
            </w:r>
          </w:p>
          <w:p w:rsidR="007F7A4D" w:rsidRDefault="007F7A4D" w:rsidP="005D6D76">
            <w:pPr>
              <w:spacing w:after="0" w:line="240" w:lineRule="auto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  <w:shd w:val="clear" w:color="auto" w:fill="FFFFFF"/>
              </w:rPr>
              <w:t>db)</w:t>
            </w:r>
            <w:hyperlink r:id="rId57" w:anchor="lbj195id8f59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i/>
                  <w:iCs/>
                  <w:color w:val="005B92"/>
                  <w:sz w:val="16"/>
                  <w:szCs w:val="16"/>
                  <w:shd w:val="clear" w:color="auto" w:fill="FFFFFF"/>
                  <w:vertAlign w:val="superscript"/>
                </w:rPr>
                <w:t> * </w:t>
              </w:r>
            </w:hyperlink>
            <w:r>
              <w:rPr>
                <w:rFonts w:ascii="Arial" w:hAnsi="Arial" w:cs="Arial"/>
                <w:i/>
                <w:iCs/>
                <w:color w:val="474747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lakott területen kívül kerékpárral, ha a kerékpárt hajtó kerékpáros fejvédő sisakot nem visel: 40 km/óra</w:t>
            </w:r>
          </w:p>
          <w:p w:rsidR="007F7A4D" w:rsidRDefault="007F7A4D" w:rsidP="005D6D76">
            <w:pPr>
              <w:spacing w:after="0" w:line="240" w:lineRule="auto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d/2.</w:t>
            </w:r>
            <w:hyperlink r:id="rId58" w:anchor="lbj197id8f59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005B92"/>
                  <w:sz w:val="16"/>
                  <w:szCs w:val="16"/>
                  <w:shd w:val="clear" w:color="auto" w:fill="FFFFFF"/>
                  <w:vertAlign w:val="superscript"/>
                </w:rPr>
                <w:t> * </w:t>
              </w:r>
            </w:hyperlink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a kerékpárúton közlekedő járművel: 30 km/óra</w:t>
            </w:r>
          </w:p>
          <w:p w:rsidR="007F7A4D" w:rsidRPr="005D6D76" w:rsidRDefault="007F7A4D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d/3.</w:t>
            </w:r>
            <w:hyperlink r:id="rId59" w:anchor="lbj198id8f59" w:tgtFrame="_blank" w:history="1">
              <w:r>
                <w:rPr>
                  <w:rStyle w:val="Hiperhivatkozs"/>
                  <w:rFonts w:ascii="Arial" w:hAnsi="Arial" w:cs="Arial"/>
                  <w:b/>
                  <w:bCs/>
                  <w:color w:val="005B92"/>
                  <w:sz w:val="16"/>
                  <w:szCs w:val="16"/>
                  <w:shd w:val="clear" w:color="auto" w:fill="FFFFFF"/>
                  <w:vertAlign w:val="superscript"/>
                </w:rPr>
                <w:t> * </w:t>
              </w:r>
            </w:hyperlink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a gyalog- és kerékpárúton közlekedő járművel: 20 km/óra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6D76" w:rsidRPr="005D6D76" w:rsidRDefault="005D6D76" w:rsidP="005D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39/A. §</w:t>
      </w:r>
      <w:hyperlink r:id="rId60" w:anchor="lbj240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61" w:anchor="lbj241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Lakó-pihenő övezetbe - a „Lakó-pihenő övezet” jelzőtáblától a „Lakó-pihenő övezet vége” jelzőtábláig terjedő területre - csak a következő járművek hajthatnak be: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kerékpár,</w:t>
      </w:r>
    </w:p>
    <w:p w:rsidR="005D6D76" w:rsidRPr="005D6D76" w:rsidRDefault="005D6D76" w:rsidP="005D6D76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Kerékpárok és segédmotoros kerékpárok</w:t>
      </w:r>
    </w:p>
    <w:p w:rsidR="005D6D76" w:rsidRPr="005D6D76" w:rsidRDefault="005D6D76" w:rsidP="005D6D76">
      <w:pPr>
        <w:shd w:val="clear" w:color="auto" w:fill="FFFFFF"/>
        <w:spacing w:after="75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lastRenderedPageBreak/>
        <w:t>54. §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62" w:anchor="lbj347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Kerékpárral a kerékpárúton, a kerékpársávon vagy erre utaló jelzés (117/c. ábra) esetében az autóbusz forgalmi sávon, ahol ilyen nincs, a leállósávon vagy a kerékpározásra alkalmas útpadkán, illetőleg - ha az út és forgalmi viszonyok ezt lehetővé teszik - a lakott területen kívüli úton, a főútvonalként megjelölt úton az úttest jobb széléhez húzódva kell közlekedni.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63" w:anchor="lbj348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Lakott területen levő olyan úton, ahol az úttest kerékpár közlekedésre alkalmatlan, továbbá ahol a (7)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szerint tilos, kerékpárral a gyalogos forgalom zavarása nélkül és legfeljebb 10 km/óra sebességgel a járdán is szabad közlekedni.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</w:t>
      </w:r>
      <w:hyperlink r:id="rId64" w:anchor="lbj349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Kerékpárral az útpadkán, az úttesten és a járdán csak egy sorban szabad haladni.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</w:t>
      </w:r>
      <w:hyperlink r:id="rId65" w:anchor="lbj350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Kerékpárral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lakott területen kívül a főútvonalról balra bekanyarodni vagy megfordulni, továbbá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kerékpárútról a vele párhuzamos útra balra bekanyarodni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nem szabad.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kerékpárosnak a kerékpárról le kell szállnia és azt tolva - a gyalogosok közlekedésére vonatkozó szabályok szerint - kell az úttesten áthaladnia.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</w:t>
      </w:r>
      <w:hyperlink r:id="rId66" w:anchor="lbj351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kétkerekű kerékpáron 16. életévét betöltött személy szállíthat 10 évnél nem idősebb, a kerékpárt nem hajtó utast a kerékpár pótülésén. Kettőnél több kerekű kerékpáron 17. életévét betöltött személy szállíthat a kerékpárt nem hajtó utast.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</w:t>
      </w:r>
      <w:hyperlink r:id="rId67" w:anchor="lbj352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kerékpárral éjszaka és korlátozott látási viszonyok között abban az esetben szabad közlekedni, ha a kerékpáron vagy a kerékpároson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előre fehér-, hátrafelé piros színű, folyamatos vagy villogó fényt adó lámpát és fényvisszaverőt helyeztek el, és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lakott területen kívül kerékpáros fényvisszaverő mellényt (ruházatot)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visel.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(7) Tilos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főútvonalon 12. életévét be nem töltött személynek kerékpározni;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elengedett kormánnyal kerékpározni;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</w:t>
      </w:r>
      <w:hyperlink r:id="rId68" w:anchor="lbj353id8f59" w:tgtFrame="_blank" w:history="1">
        <w:r w:rsidRPr="005D6D76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kerékpárhoz oldalkocsit, valamint - kerékpárutánfutót kivéve - egyéb vontatmányt kapcsolni;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kerékpárt más járművel, illetőleg állattal vontatni;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e)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kerékpáron oldalra kinyúló, előre vagy hátra egy méternél hosszabban kinyúló, a vezetőt a vezetésben akadályozó vagy a személy- és vagyonbiztonságot egyébként veszélyeztető tárgyat szállítani;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kerékpárral állatot vezetni.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(8)</w:t>
      </w:r>
      <w:hyperlink r:id="rId69" w:anchor="lbj354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(1) és a (3) bekezdésben, a (4)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pontjában, valamint a (7) bekezdés </w:t>
      </w: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b)-f)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pontjában foglalt rendelkezéseket a segédmotoros kerékpárok - a quad és a mopedautó kivételével - közlekedésére is alkalmazni kell azzal, hogy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lakott területen a kerékpársávon segédmotoros kerékpárral közlekedni,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kétkerekű segédmotoros kerékpáron utast szállítani,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segédmotoros kerékpárhoz utánfutót kapcsolni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nem szabad.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(9)</w:t>
      </w:r>
      <w:hyperlink r:id="rId70" w:anchor="lbj355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három- vagy négykerekű segédmotoros kerékpárral személyt szállítani akkor szabad, ha a jármű vezetője a 17. életévét betöltötte.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(10)</w:t>
      </w:r>
      <w:hyperlink r:id="rId71" w:anchor="lbj356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gyalog- és kerékpárúton a kerékpáros a gyalogos forgalmat nem akadályozhatja és nem veszélyeztetheti.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(11)</w:t>
      </w:r>
      <w:hyperlink r:id="rId72" w:anchor="lbj357id8f59" w:tgtFrame="_blank" w:history="1">
        <w:r w:rsidRPr="005D6D76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Ha az út mellett, annak vonalvezetését követve kerékpárutat vagy gyalog- és kerékpárutat jelöltek ki, a kétkerekű kerékpároknak a kerékpárúton vagy a gyalog- és kerékpárúton kell közlekedni. Ha a lakott területen a nem főútvonalként megjelölt út mellett annak vonalvezetését követve kerékpárutat vagy gyalog- és kerékpárutat jelöltek ki és az úton kerékpár nyomot (158/k. ábra) is kijelöltek - ha a közúti jelzésekből más nem következik - a kétkerekű kerékpárok az úttesten is közlekedhetnek.</w:t>
      </w:r>
    </w:p>
    <w:p w:rsidR="005D6D76" w:rsidRPr="005D6D76" w:rsidRDefault="005D6D76" w:rsidP="005D6D76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D6D76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</w:t>
      </w:r>
    </w:p>
    <w:p w:rsidR="00D61F7D" w:rsidRDefault="00D61F7D"/>
    <w:sectPr w:rsidR="00D6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76"/>
    <w:rsid w:val="00041C74"/>
    <w:rsid w:val="00140279"/>
    <w:rsid w:val="001B330A"/>
    <w:rsid w:val="002F768E"/>
    <w:rsid w:val="00312AC6"/>
    <w:rsid w:val="00393AFD"/>
    <w:rsid w:val="00423280"/>
    <w:rsid w:val="004318A6"/>
    <w:rsid w:val="00482056"/>
    <w:rsid w:val="004D205C"/>
    <w:rsid w:val="005D6D76"/>
    <w:rsid w:val="006059D9"/>
    <w:rsid w:val="006F1864"/>
    <w:rsid w:val="00710032"/>
    <w:rsid w:val="007113D4"/>
    <w:rsid w:val="007F7A4D"/>
    <w:rsid w:val="0084650F"/>
    <w:rsid w:val="008F6BC9"/>
    <w:rsid w:val="00AB1244"/>
    <w:rsid w:val="00B01536"/>
    <w:rsid w:val="00B37698"/>
    <w:rsid w:val="00D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E777-6AE6-4CA6-B040-F081824D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D6D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D6D7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97500001.KPM" TargetMode="External"/><Relationship Id="rId18" Type="http://schemas.openxmlformats.org/officeDocument/2006/relationships/hyperlink" Target="https://net.jogtar.hu/jogszabaly?docid=97500001.KPM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s://net.jogtar.hu/jogszabaly?docid=97500001.KPM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s://net.jogtar.hu/jogszabaly?docid=97500001.KPM" TargetMode="External"/><Relationship Id="rId47" Type="http://schemas.openxmlformats.org/officeDocument/2006/relationships/image" Target="media/image23.png"/><Relationship Id="rId50" Type="http://schemas.openxmlformats.org/officeDocument/2006/relationships/hyperlink" Target="https://net.jogtar.hu/jogszabaly?docid=97500001.KPM" TargetMode="External"/><Relationship Id="rId55" Type="http://schemas.openxmlformats.org/officeDocument/2006/relationships/hyperlink" Target="https://net.jogtar.hu/jogszabaly?docid=97500001.KPM" TargetMode="External"/><Relationship Id="rId63" Type="http://schemas.openxmlformats.org/officeDocument/2006/relationships/hyperlink" Target="https://net.jogtar.hu/jogszabaly?docid=97500001.KPM" TargetMode="External"/><Relationship Id="rId68" Type="http://schemas.openxmlformats.org/officeDocument/2006/relationships/hyperlink" Target="https://net.jogtar.hu/jogszabaly?docid=97500001.KPM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net.jogtar.hu/jogszabaly?docid=97500001.K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97500001.KPM" TargetMode="External"/><Relationship Id="rId29" Type="http://schemas.openxmlformats.org/officeDocument/2006/relationships/hyperlink" Target="https://net.jogtar.hu/jogszabaly?docid=97500001.KP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net.jogtar.hu/jogszabaly?docid=97500001.KPM" TargetMode="External"/><Relationship Id="rId32" Type="http://schemas.openxmlformats.org/officeDocument/2006/relationships/hyperlink" Target="https://net.jogtar.hu/jogszabaly?docid=97500001.KPM" TargetMode="External"/><Relationship Id="rId37" Type="http://schemas.openxmlformats.org/officeDocument/2006/relationships/hyperlink" Target="https://net.jogtar.hu/jogszabaly?docid=97500001.KPM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s://net.jogtar.hu/jogszabaly?docid=97500001.KPM" TargetMode="External"/><Relationship Id="rId53" Type="http://schemas.openxmlformats.org/officeDocument/2006/relationships/image" Target="media/image26.png"/><Relationship Id="rId58" Type="http://schemas.openxmlformats.org/officeDocument/2006/relationships/hyperlink" Target="https://net.jogtar.hu/jogszabaly?docid=97500001.KPM" TargetMode="External"/><Relationship Id="rId66" Type="http://schemas.openxmlformats.org/officeDocument/2006/relationships/hyperlink" Target="https://net.jogtar.hu/jogszabaly?docid=97500001.KP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et.jogtar.hu/jogszabaly?docid=97500001.KP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hyperlink" Target="https://net.jogtar.hu/jogszabaly?docid=97500001.KPM" TargetMode="External"/><Relationship Id="rId61" Type="http://schemas.openxmlformats.org/officeDocument/2006/relationships/hyperlink" Target="https://net.jogtar.hu/jogszabaly?docid=97500001.KPM" TargetMode="External"/><Relationship Id="rId10" Type="http://schemas.openxmlformats.org/officeDocument/2006/relationships/hyperlink" Target="https://net.jogtar.hu/jogszabaly?docid=97500001.KP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net.jogtar.hu/jogszabaly?docid=97500001.KPM" TargetMode="External"/><Relationship Id="rId44" Type="http://schemas.openxmlformats.org/officeDocument/2006/relationships/hyperlink" Target="https://net.jogtar.hu/jogszabaly?docid=97500001.KPM" TargetMode="External"/><Relationship Id="rId52" Type="http://schemas.openxmlformats.org/officeDocument/2006/relationships/hyperlink" Target="https://net.jogtar.hu/jogszabaly?docid=97500001.KPM" TargetMode="External"/><Relationship Id="rId60" Type="http://schemas.openxmlformats.org/officeDocument/2006/relationships/hyperlink" Target="https://net.jogtar.hu/jogszabaly?docid=97500001.KPM" TargetMode="External"/><Relationship Id="rId65" Type="http://schemas.openxmlformats.org/officeDocument/2006/relationships/hyperlink" Target="https://net.jogtar.hu/jogszabaly?docid=97500001.KP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net.jogtar.hu/jogszabaly?docid=97500001.KP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net.jogtar.hu/jogszabaly?docid=97500001.KPM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net.jogtar.hu/jogszabaly?docid=97500001.KPM" TargetMode="External"/><Relationship Id="rId43" Type="http://schemas.openxmlformats.org/officeDocument/2006/relationships/image" Target="media/image21.png"/><Relationship Id="rId48" Type="http://schemas.openxmlformats.org/officeDocument/2006/relationships/hyperlink" Target="https://net.jogtar.hu/jogszabaly?docid=97500001.KPM" TargetMode="External"/><Relationship Id="rId56" Type="http://schemas.openxmlformats.org/officeDocument/2006/relationships/hyperlink" Target="https://net.jogtar.hu/jogszabaly?docid=97500001.KPM" TargetMode="External"/><Relationship Id="rId64" Type="http://schemas.openxmlformats.org/officeDocument/2006/relationships/hyperlink" Target="https://net.jogtar.hu/jogszabaly?docid=97500001.KPM" TargetMode="External"/><Relationship Id="rId69" Type="http://schemas.openxmlformats.org/officeDocument/2006/relationships/hyperlink" Target="https://net.jogtar.hu/jogszabaly?docid=97500001.KPM" TargetMode="External"/><Relationship Id="rId8" Type="http://schemas.openxmlformats.org/officeDocument/2006/relationships/hyperlink" Target="https://net.jogtar.hu/jogszabaly?docid=97500001.KPM" TargetMode="External"/><Relationship Id="rId51" Type="http://schemas.openxmlformats.org/officeDocument/2006/relationships/image" Target="media/image25.png"/><Relationship Id="rId72" Type="http://schemas.openxmlformats.org/officeDocument/2006/relationships/hyperlink" Target="https://net.jogtar.hu/jogszabaly?docid=97500001.KP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net.jogtar.hu/jogszabaly?docid=97500001.KPM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s://net.jogtar.hu/jogszabaly?docid=97500001.KPM" TargetMode="External"/><Relationship Id="rId67" Type="http://schemas.openxmlformats.org/officeDocument/2006/relationships/hyperlink" Target="https://net.jogtar.hu/jogszabaly?docid=97500001.KPM" TargetMode="External"/><Relationship Id="rId20" Type="http://schemas.openxmlformats.org/officeDocument/2006/relationships/hyperlink" Target="https://net.jogtar.hu/jogszabaly?docid=97500001.KPM" TargetMode="External"/><Relationship Id="rId41" Type="http://schemas.openxmlformats.org/officeDocument/2006/relationships/image" Target="media/image20.png"/><Relationship Id="rId54" Type="http://schemas.openxmlformats.org/officeDocument/2006/relationships/hyperlink" Target="https://net.jogtar.hu/jogszabaly?docid=97500001.KPM" TargetMode="External"/><Relationship Id="rId62" Type="http://schemas.openxmlformats.org/officeDocument/2006/relationships/hyperlink" Target="https://net.jogtar.hu/jogszabaly?docid=97500001.KPM" TargetMode="External"/><Relationship Id="rId70" Type="http://schemas.openxmlformats.org/officeDocument/2006/relationships/hyperlink" Target="https://net.jogtar.hu/jogszabaly?docid=97500001.KP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7500001.KP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1924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Zrt. Vsz</dc:creator>
  <cp:keywords/>
  <dc:description/>
  <cp:lastModifiedBy>Zrt. Vsz</cp:lastModifiedBy>
  <cp:revision>3</cp:revision>
  <dcterms:created xsi:type="dcterms:W3CDTF">2019-09-02T10:36:00Z</dcterms:created>
  <dcterms:modified xsi:type="dcterms:W3CDTF">2019-09-02T10:39:00Z</dcterms:modified>
</cp:coreProperties>
</file>