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FD"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0D3569">
        <w:rPr>
          <w:rFonts w:ascii="Times New Roman" w:hAnsi="Times New Roman" w:cs="Times New Roman"/>
          <w:b/>
        </w:rPr>
        <w:t>, valamint a 18/2019. (IV.15.) 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w:t>
      </w:r>
      <w:proofErr w:type="gramStart"/>
      <w:r w:rsidRPr="00F83770">
        <w:rPr>
          <w:rFonts w:ascii="Times New Roman" w:hAnsi="Times New Roman" w:cs="Times New Roman"/>
        </w:rPr>
        <w:t>kategória</w:t>
      </w:r>
      <w:proofErr w:type="gramEnd"/>
      <w:r w:rsidRPr="00F83770">
        <w:rPr>
          <w:rFonts w:ascii="Times New Roman" w:hAnsi="Times New Roman" w:cs="Times New Roman"/>
        </w:rPr>
        <w:t xml:space="preserve">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w:t>
      </w:r>
      <w:proofErr w:type="spellStart"/>
      <w:r w:rsidRPr="00F83770">
        <w:rPr>
          <w:rFonts w:ascii="Times New Roman" w:hAnsi="Times New Roman" w:cs="Times New Roman"/>
        </w:rPr>
        <w:t>kerekű</w:t>
      </w:r>
      <w:proofErr w:type="spellEnd"/>
      <w:r w:rsidRPr="00F83770">
        <w:rPr>
          <w:rFonts w:ascii="Times New Roman" w:hAnsi="Times New Roman" w:cs="Times New Roman"/>
        </w:rPr>
        <w:t xml:space="preserve">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Pr="00F83770"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w:t>
      </w:r>
      <w:proofErr w:type="spellStart"/>
      <w:r w:rsidR="005E5190" w:rsidRPr="00F83770">
        <w:rPr>
          <w:rFonts w:ascii="Times New Roman" w:hAnsi="Times New Roman" w:cs="Times New Roman"/>
        </w:rPr>
        <w:t>igénybevevője</w:t>
      </w:r>
      <w:proofErr w:type="spellEnd"/>
      <w:r w:rsidR="005E5190" w:rsidRPr="00F83770">
        <w:rPr>
          <w:rFonts w:ascii="Times New Roman" w:hAnsi="Times New Roman" w:cs="Times New Roman"/>
        </w:rPr>
        <w:t xml:space="preserv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BB2DCF" w:rsidRPr="00F83770" w:rsidRDefault="00BB2DCF" w:rsidP="00BB2DCF">
      <w:pPr>
        <w:pStyle w:val="Listaszerbekezds"/>
        <w:spacing w:after="0"/>
        <w:jc w:val="both"/>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díjat a várakozás megkezdésekor a várakozási területen elhelyezett parkolójegy-kiadó automatánál vagy mobil parkolással kell megfizetni. A </w:t>
      </w:r>
      <w:proofErr w:type="gramStart"/>
      <w:r w:rsidRPr="00F83770">
        <w:rPr>
          <w:rFonts w:ascii="Times New Roman" w:hAnsi="Times New Roman" w:cs="Times New Roman"/>
        </w:rPr>
        <w:t>minimálisan</w:t>
      </w:r>
      <w:proofErr w:type="gramEnd"/>
      <w:r w:rsidRPr="00F83770">
        <w:rPr>
          <w:rFonts w:ascii="Times New Roman" w:hAnsi="Times New Roman" w:cs="Times New Roman"/>
        </w:rPr>
        <w:t xml:space="preserve"> megfizetendő várakozási idő 15 perc.</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BE0253" w:rsidRPr="00F8377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bizonylat a rajta feltüntetett időtartamig érvényes.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A.</w:t>
      </w:r>
      <w:proofErr w:type="gramEnd"/>
      <w:r>
        <w:rPr>
          <w:rFonts w:ascii="Times New Roman" w:hAnsi="Times New Roman" w:cs="Times New Roman"/>
        </w:rPr>
        <w:t xml:space="preserve"> §</w:t>
      </w:r>
      <w:r>
        <w:rPr>
          <w:rStyle w:val="Lbjegyzet-hivatkozs"/>
          <w:rFonts w:ascii="Times New Roman" w:hAnsi="Times New Roman" w:cs="Times New Roman"/>
        </w:rPr>
        <w:footnoteReference w:id="2"/>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 rendszeres igénybevételéhez éves és időszakos bérlet váltható. Bérletet kizárólag személygépkocsira 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A díjköteles várakozási területeken fizetendő várakozási díj és a pótdíj mértékét, valamint a bérletek díjait </w:t>
      </w:r>
      <w:proofErr w:type="spellStart"/>
      <w:proofErr w:type="gramStart"/>
      <w:r w:rsidRPr="00F83770">
        <w:rPr>
          <w:rFonts w:ascii="Times New Roman" w:hAnsi="Times New Roman" w:cs="Times New Roman"/>
        </w:rPr>
        <w:t>zónánként</w:t>
      </w:r>
      <w:r w:rsidR="001453C6" w:rsidRPr="00F83770">
        <w:rPr>
          <w:rFonts w:ascii="Times New Roman" w:hAnsi="Times New Roman" w:cs="Times New Roman"/>
        </w:rPr>
        <w:t>i</w:t>
      </w:r>
      <w:proofErr w:type="spellEnd"/>
      <w:proofErr w:type="gramEnd"/>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lastRenderedPageBreak/>
        <w:t xml:space="preserve">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 </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általános, egy vagy több </w:t>
      </w:r>
      <w:proofErr w:type="gramStart"/>
      <w:r w:rsidRPr="00F83770">
        <w:rPr>
          <w:rFonts w:ascii="Times New Roman" w:hAnsi="Times New Roman" w:cs="Times New Roman"/>
        </w:rPr>
        <w:t>zónára</w:t>
      </w:r>
      <w:proofErr w:type="gramEnd"/>
      <w:r w:rsidRPr="00F83770">
        <w:rPr>
          <w:rFonts w:ascii="Times New Roman" w:hAnsi="Times New Roman" w:cs="Times New Roman"/>
        </w:rPr>
        <w:t xml:space="preserve">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Pr="00F8377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Általános bérletet természetes személy, jogi személy és jogi személyiséggel nem rendelkező szervezet vásárolhat. Az általános bérlet a rajta feltüntetett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való várakozásra jogosít. A III. </w:t>
      </w:r>
      <w:proofErr w:type="gramStart"/>
      <w:r w:rsidRPr="00F83770">
        <w:rPr>
          <w:rFonts w:ascii="Times New Roman" w:hAnsi="Times New Roman" w:cs="Times New Roman"/>
        </w:rPr>
        <w:t>zóná</w:t>
      </w:r>
      <w:r w:rsidR="004F414B" w:rsidRPr="00F83770">
        <w:rPr>
          <w:rFonts w:ascii="Times New Roman" w:hAnsi="Times New Roman" w:cs="Times New Roman"/>
        </w:rPr>
        <w:t>ra</w:t>
      </w:r>
      <w:proofErr w:type="gramEnd"/>
      <w:r w:rsidR="004F414B" w:rsidRPr="00F83770">
        <w:rPr>
          <w:rFonts w:ascii="Times New Roman" w:hAnsi="Times New Roman" w:cs="Times New Roman"/>
        </w:rPr>
        <w:t xml:space="preserve">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w:t>
      </w:r>
      <w:r w:rsidR="004F414B" w:rsidRPr="00F83770">
        <w:rPr>
          <w:rFonts w:ascii="Times New Roman" w:hAnsi="Times New Roman" w:cs="Times New Roman"/>
        </w:rPr>
        <w:t>munkáltató által kiállított igazolás ellenében egy személygépkocsira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Pr="00F83770"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Járás települési önkormányzatai legfeljebb 2 személygépkocsira.</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a Martinovics </w:t>
      </w:r>
      <w:proofErr w:type="gramStart"/>
      <w:r w:rsidRPr="00F83770">
        <w:rPr>
          <w:rFonts w:ascii="Times New Roman" w:hAnsi="Times New Roman" w:cs="Times New Roman"/>
        </w:rPr>
        <w:t>utca temető</w:t>
      </w:r>
      <w:proofErr w:type="gramEnd"/>
      <w:r w:rsidRPr="00F83770">
        <w:rPr>
          <w:rFonts w:ascii="Times New Roman" w:hAnsi="Times New Roman" w:cs="Times New Roman"/>
        </w:rPr>
        <w:t xml:space="preserve">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saját ingatlanán belül a </w:t>
      </w:r>
      <w:r w:rsidR="00C11918" w:rsidRPr="00F83770">
        <w:rPr>
          <w:rFonts w:ascii="Times New Roman" w:hAnsi="Times New Roman" w:cs="Times New Roman"/>
        </w:rPr>
        <w:t>személygépkocsi</w:t>
      </w:r>
      <w:r w:rsidR="00AF53CE" w:rsidRPr="00F83770">
        <w:rPr>
          <w:rFonts w:ascii="Times New Roman" w:hAnsi="Times New Roman" w:cs="Times New Roman"/>
        </w:rPr>
        <w:t xml:space="preserve"> tárolására. Lakóingatlanonként csak egy </w:t>
      </w:r>
      <w:r w:rsidR="00C11918" w:rsidRPr="00F83770">
        <w:rPr>
          <w:rFonts w:ascii="Times New Roman" w:hAnsi="Times New Roman" w:cs="Times New Roman"/>
        </w:rPr>
        <w:t>személygépkocsira</w:t>
      </w:r>
      <w:r w:rsidR="00AF53CE" w:rsidRPr="00F83770">
        <w:rPr>
          <w:rFonts w:ascii="Times New Roman" w:hAnsi="Times New Roman" w:cs="Times New Roman"/>
        </w:rPr>
        <w:t xml:space="preserve"> 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w:t>
      </w:r>
      <w:proofErr w:type="gramStart"/>
      <w:r w:rsidR="00C83031" w:rsidRPr="00F83770">
        <w:rPr>
          <w:rFonts w:ascii="Times New Roman" w:hAnsi="Times New Roman" w:cs="Times New Roman"/>
        </w:rPr>
        <w:t>zónába</w:t>
      </w:r>
      <w:proofErr w:type="gramEnd"/>
      <w:r w:rsidR="00C83031" w:rsidRPr="00F83770">
        <w:rPr>
          <w:rFonts w:ascii="Times New Roman" w:hAnsi="Times New Roman" w:cs="Times New Roman"/>
        </w:rPr>
        <w:t xml:space="preserve">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743808"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várakozási területe</w:t>
      </w:r>
      <w:r w:rsidR="00D40B50" w:rsidRPr="00F83770">
        <w:rPr>
          <w:rFonts w:ascii="Times New Roman" w:hAnsi="Times New Roman" w:cs="Times New Roman"/>
        </w:rPr>
        <w:t>ke</w:t>
      </w:r>
      <w:r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Pr="00F83770">
        <w:rPr>
          <w:rFonts w:ascii="Times New Roman" w:hAnsi="Times New Roman" w:cs="Times New Roman"/>
        </w:rPr>
        <w:t xml:space="preserve">szakorvosa, hivatásos ápoló, védőnő, szociális gondozó </w:t>
      </w:r>
      <w:r w:rsidR="00C11918" w:rsidRPr="00F83770">
        <w:rPr>
          <w:rFonts w:ascii="Times New Roman" w:hAnsi="Times New Roman" w:cs="Times New Roman"/>
        </w:rPr>
        <w:t>személy</w:t>
      </w:r>
      <w:r w:rsidRPr="00F83770">
        <w:rPr>
          <w:rFonts w:ascii="Times New Roman" w:hAnsi="Times New Roman" w:cs="Times New Roman"/>
        </w:rPr>
        <w:t xml:space="preserve">gépkocsijára egészségügyi szolgáltatói bérletet igényelhet, amellyel munkavégzése során a várakozási terület bármely </w:t>
      </w:r>
      <w:proofErr w:type="gramStart"/>
      <w:r w:rsidRPr="00F83770">
        <w:rPr>
          <w:rFonts w:ascii="Times New Roman" w:hAnsi="Times New Roman" w:cs="Times New Roman"/>
        </w:rPr>
        <w:t>zónájában</w:t>
      </w:r>
      <w:proofErr w:type="gramEnd"/>
      <w:r w:rsidRPr="00F83770">
        <w:rPr>
          <w:rFonts w:ascii="Times New Roman" w:hAnsi="Times New Roman" w:cs="Times New Roman"/>
        </w:rPr>
        <w:t xml:space="preserve">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w:t>
      </w:r>
      <w:proofErr w:type="gramStart"/>
      <w:r w:rsidR="0073003F" w:rsidRPr="00F83770">
        <w:rPr>
          <w:rFonts w:ascii="Times New Roman" w:hAnsi="Times New Roman" w:cs="Times New Roman"/>
        </w:rPr>
        <w:t>zónában</w:t>
      </w:r>
      <w:proofErr w:type="gramEnd"/>
      <w:r w:rsidR="0073003F" w:rsidRPr="00F83770">
        <w:rPr>
          <w:rFonts w:ascii="Times New Roman" w:hAnsi="Times New Roman" w:cs="Times New Roman"/>
        </w:rPr>
        <w:t xml:space="preserve">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bérlet </w:t>
      </w:r>
      <w:proofErr w:type="spellStart"/>
      <w:r w:rsidRPr="00F83770">
        <w:rPr>
          <w:rFonts w:ascii="Times New Roman" w:hAnsi="Times New Roman" w:cs="Times New Roman"/>
        </w:rPr>
        <w:t>vásárolására</w:t>
      </w:r>
      <w:proofErr w:type="spellEnd"/>
      <w:r w:rsidRPr="00F83770">
        <w:rPr>
          <w:rFonts w:ascii="Times New Roman" w:hAnsi="Times New Roman" w:cs="Times New Roman"/>
        </w:rPr>
        <w:t xml:space="preserve">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093A1B"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személygépkocsijának forgalmi</w:t>
      </w:r>
      <w:r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094279" w:rsidP="00094279">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Az e §-</w:t>
      </w:r>
      <w:proofErr w:type="spellStart"/>
      <w:r w:rsidRPr="00F83770">
        <w:rPr>
          <w:rFonts w:ascii="Times New Roman" w:hAnsi="Times New Roman" w:cs="Times New Roman"/>
        </w:rPr>
        <w:t>ban</w:t>
      </w:r>
      <w:proofErr w:type="spellEnd"/>
      <w:r w:rsidRPr="00F83770">
        <w:rPr>
          <w:rFonts w:ascii="Times New Roman" w:hAnsi="Times New Roman" w:cs="Times New Roman"/>
        </w:rPr>
        <w:t xml:space="preserve"> meghatározott bérleteket az üzemeltető ügyfélszolgálati irodájában lehet igényelni. A bérletek kiállításának feltétele a személygépkocsi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6185B" w:rsidP="00D6185B">
      <w:pPr>
        <w:pStyle w:val="Listaszerbekezds"/>
        <w:numPr>
          <w:ilvl w:val="0"/>
          <w:numId w:val="8"/>
        </w:numPr>
        <w:spacing w:after="0"/>
        <w:ind w:left="851" w:hanging="491"/>
        <w:jc w:val="both"/>
        <w:rPr>
          <w:rFonts w:ascii="Times New Roman" w:hAnsi="Times New Roman" w:cs="Times New Roman"/>
        </w:rPr>
      </w:pPr>
      <w:r w:rsidRPr="00F83770">
        <w:rPr>
          <w:rFonts w:ascii="Times New Roman" w:hAnsi="Times New Roman" w:cs="Times New Roman"/>
        </w:rPr>
        <w:t>A személygépkocsi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3"/>
      </w:r>
      <w:r w:rsidR="00D6185B" w:rsidRPr="00F83770">
        <w:rPr>
          <w:rFonts w:ascii="Times New Roman" w:hAnsi="Times New Roman" w:cs="Times New Roman"/>
        </w:rPr>
        <w:t>a személygépkocsi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C11918" w:rsidRPr="00F83770">
        <w:rPr>
          <w:rFonts w:ascii="Times New Roman" w:hAnsi="Times New Roman" w:cs="Times New Roman"/>
        </w:rPr>
        <w:t xml:space="preserve">személygépkocsi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4"/>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lastRenderedPageBreak/>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Mentesül a díjfizetési kötelezettség alól az 1. melléklet 2.16. pontjában szereplő díjköteles várakozási területen a SZEI-</w:t>
      </w:r>
      <w:proofErr w:type="spellStart"/>
      <w:r w:rsidRPr="00F83770">
        <w:rPr>
          <w:rFonts w:ascii="Times New Roman" w:hAnsi="Times New Roman" w:cs="Times New Roman"/>
        </w:rPr>
        <w:t>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A polgármester az üzemeltető értesítése mellett valamennyi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5C1376" w:rsidP="005C1376">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II. </w:t>
      </w:r>
      <w:proofErr w:type="gramStart"/>
      <w:r w:rsidRPr="00F83770">
        <w:rPr>
          <w:rFonts w:ascii="Times New Roman" w:hAnsi="Times New Roman" w:cs="Times New Roman"/>
        </w:rPr>
        <w:t>zónában</w:t>
      </w:r>
      <w:proofErr w:type="gramEnd"/>
      <w:r w:rsidRPr="00F83770">
        <w:rPr>
          <w:rFonts w:ascii="Times New Roman" w:hAnsi="Times New Roman" w:cs="Times New Roman"/>
        </w:rPr>
        <w:t xml:space="preserve"> 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B2BC6" w:rsidRPr="00F83770">
        <w:rPr>
          <w:rFonts w:ascii="Times New Roman" w:hAnsi="Times New Roman" w:cs="Times New Roman"/>
        </w:rPr>
        <w:t>személygépkocsija</w:t>
      </w:r>
      <w:r w:rsidRPr="00F83770">
        <w:rPr>
          <w:rFonts w:ascii="Times New Roman" w:hAnsi="Times New Roman" w:cs="Times New Roman"/>
        </w:rPr>
        <w:t xml:space="preserve"> 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w:t>
      </w:r>
      <w:r w:rsidRPr="00F83770">
        <w:rPr>
          <w:rFonts w:ascii="Times New Roman" w:hAnsi="Times New Roman" w:cs="Times New Roman"/>
        </w:rPr>
        <w:lastRenderedPageBreak/>
        <w:t>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tényéről.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w:t>
      </w:r>
      <w:proofErr w:type="gramStart"/>
      <w:r w:rsidRPr="00F83770">
        <w:rPr>
          <w:rFonts w:ascii="Times New Roman" w:hAnsi="Times New Roman" w:cs="Times New Roman"/>
        </w:rPr>
        <w:t>információs</w:t>
      </w:r>
      <w:proofErr w:type="gramEnd"/>
      <w:r w:rsidRPr="00F83770">
        <w:rPr>
          <w:rFonts w:ascii="Times New Roman" w:hAnsi="Times New Roman" w:cs="Times New Roman"/>
        </w:rPr>
        <w:t xml:space="preserve">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 xml:space="preserve">vagy lezárt adóév tekintetében 1000 Ft-ot meghaladó késedelmi </w:t>
      </w:r>
      <w:proofErr w:type="gramStart"/>
      <w:r w:rsidRPr="00F83770">
        <w:rPr>
          <w:rFonts w:ascii="Times New Roman" w:hAnsi="Times New Roman" w:cs="Times New Roman"/>
        </w:rPr>
        <w:t>pótlék tartozást</w:t>
      </w:r>
      <w:proofErr w:type="gramEnd"/>
      <w:r w:rsidRPr="00F83770">
        <w:rPr>
          <w:rFonts w:ascii="Times New Roman" w:hAnsi="Times New Roman" w:cs="Times New Roman"/>
        </w:rPr>
        <w:t xml:space="preserve">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5"/>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lastRenderedPageBreak/>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ha az érvényes bizonylat nincs jól látható helyen elhelyezve, így arról a várakozásra jogosító időtartam nem olvasható le vagy a jogosultság az üzemeltető számára egyértelműen nem állapítható meg.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w:t>
      </w:r>
      <w:proofErr w:type="gramStart"/>
      <w:r w:rsidRPr="00F83770">
        <w:rPr>
          <w:rFonts w:ascii="Times New Roman" w:hAnsi="Times New Roman" w:cs="Times New Roman"/>
        </w:rPr>
        <w:t>ellenőr várakozási</w:t>
      </w:r>
      <w:proofErr w:type="gramEnd"/>
      <w:r w:rsidRPr="00F83770">
        <w:rPr>
          <w:rFonts w:ascii="Times New Roman" w:hAnsi="Times New Roman" w:cs="Times New Roman"/>
        </w:rPr>
        <w:t xml:space="preserve">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w:t>
      </w:r>
      <w:r w:rsidR="00BF356F" w:rsidRPr="00F83770">
        <w:rPr>
          <w:rFonts w:ascii="Times New Roman" w:hAnsi="Times New Roman" w:cs="Times New Roman"/>
        </w:rPr>
        <w:lastRenderedPageBreak/>
        <w:t>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w:t>
      </w:r>
      <w:proofErr w:type="spellStart"/>
      <w:r w:rsidR="00F974E7" w:rsidRPr="00F83770">
        <w:rPr>
          <w:rFonts w:ascii="Times New Roman" w:hAnsi="Times New Roman" w:cs="Times New Roman"/>
        </w:rPr>
        <w:t>törli</w:t>
      </w:r>
      <w:proofErr w:type="spellEnd"/>
      <w:r w:rsidR="00F974E7" w:rsidRPr="00F83770">
        <w:rPr>
          <w:rFonts w:ascii="Times New Roman" w:hAnsi="Times New Roman" w:cs="Times New Roman"/>
        </w:rPr>
        <w:t xml:space="preserve"> a nyilvántartásából. </w:t>
      </w:r>
    </w:p>
    <w:p w:rsidR="00F030E0" w:rsidRPr="00F83770" w:rsidRDefault="00F030E0" w:rsidP="00F030E0">
      <w:pPr>
        <w:pStyle w:val="Listaszerbekezds"/>
        <w:spacing w:after="0"/>
        <w:jc w:val="both"/>
        <w:rPr>
          <w:rFonts w:ascii="Times New Roman" w:hAnsi="Times New Roman" w:cs="Times New Roman"/>
        </w:rPr>
      </w:pPr>
    </w:p>
    <w:p w:rsidR="00F974E7" w:rsidRPr="00F83770"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 </w:t>
      </w:r>
    </w:p>
    <w:p w:rsidR="00D22C3B" w:rsidRPr="00F83770" w:rsidRDefault="00D22C3B" w:rsidP="00D22C3B">
      <w:pPr>
        <w:pStyle w:val="Listaszerbekezds"/>
        <w:rPr>
          <w:rFonts w:ascii="Times New Roman" w:hAnsi="Times New Roman" w:cs="Times New Roman"/>
        </w:rPr>
      </w:pPr>
    </w:p>
    <w:p w:rsidR="00D22C3B" w:rsidRPr="00F83770"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Az üzemeltető a jogosulatlanul várakozó gépjárműveket csak auditált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A.</w:t>
      </w:r>
      <w:proofErr w:type="gramEnd"/>
      <w:r>
        <w:rPr>
          <w:rFonts w:ascii="Times New Roman" w:hAnsi="Times New Roman" w:cs="Times New Roman"/>
        </w:rPr>
        <w:t xml:space="preserve"> §</w:t>
      </w:r>
      <w:r>
        <w:rPr>
          <w:rStyle w:val="Lbjegyzet-hivatkozs"/>
          <w:rFonts w:ascii="Times New Roman" w:hAnsi="Times New Roman" w:cs="Times New Roman"/>
        </w:rPr>
        <w:footnoteReference w:id="6"/>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7"/>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w:t>
      </w:r>
      <w:proofErr w:type="spellEnd"/>
      <w:r w:rsidRPr="00F83770">
        <w:rPr>
          <w:rFonts w:ascii="Times New Roman" w:eastAsia="Times New Roman" w:hAnsi="Times New Roman" w:cs="Times New Roman"/>
          <w:b/>
          <w:lang w:eastAsia="hu-HU"/>
        </w:rPr>
        <w:t>-Nagy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201</w:t>
      </w:r>
      <w:r w:rsidR="00476B87">
        <w:rPr>
          <w:rFonts w:ascii="Times New Roman" w:hAnsi="Times New Roman" w:cs="Times New Roman"/>
        </w:rPr>
        <w:t xml:space="preserve">9. </w:t>
      </w:r>
      <w:r w:rsidR="000975A5">
        <w:rPr>
          <w:rFonts w:ascii="Times New Roman" w:hAnsi="Times New Roman" w:cs="Times New Roman"/>
        </w:rPr>
        <w:t>április 1</w:t>
      </w:r>
      <w:r w:rsidR="00215610">
        <w:rPr>
          <w:rFonts w:ascii="Times New Roman" w:hAnsi="Times New Roman" w:cs="Times New Roman"/>
        </w:rPr>
        <w:t>5</w:t>
      </w:r>
      <w:r w:rsidR="000975A5">
        <w:rPr>
          <w:rFonts w:ascii="Times New Roman" w:hAnsi="Times New Roman" w:cs="Times New Roman"/>
        </w:rPr>
        <w:t>-é</w:t>
      </w:r>
      <w:r w:rsidRPr="00F83770">
        <w:rPr>
          <w:rFonts w:ascii="Times New Roman" w:hAnsi="Times New Roman" w:cs="Times New Roman"/>
        </w:rPr>
        <w:t xml:space="preserve">n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Gerendás 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Az 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w:t>
      </w:r>
      <w:proofErr w:type="gramStart"/>
      <w:r w:rsidRPr="00F83770">
        <w:rPr>
          <w:rFonts w:ascii="Times New Roman" w:eastAsia="Times New Roman" w:hAnsi="Times New Roman" w:cs="Times New Roman"/>
          <w:lang w:eastAsia="hu-HU"/>
        </w:rPr>
        <w:t>Teátrum parkoló</w:t>
      </w:r>
      <w:proofErr w:type="gramEnd"/>
      <w:r w:rsidRPr="00F83770">
        <w:rPr>
          <w:rFonts w:ascii="Times New Roman" w:eastAsia="Times New Roman" w:hAnsi="Times New Roman" w:cs="Times New Roman"/>
          <w:lang w:eastAsia="hu-HU"/>
        </w:rPr>
        <w:t>)</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A 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w:t>
      </w:r>
      <w:proofErr w:type="gramStart"/>
      <w:r w:rsidR="000D7D87" w:rsidRPr="00F83770">
        <w:rPr>
          <w:rFonts w:ascii="Times New Roman" w:eastAsia="Times New Roman" w:hAnsi="Times New Roman" w:cs="Times New Roman"/>
          <w:lang w:eastAsia="hu-HU"/>
        </w:rPr>
        <w:t>Teátrum parkoló</w:t>
      </w:r>
      <w:proofErr w:type="gramEnd"/>
      <w:r w:rsidR="000D7D87" w:rsidRPr="00F83770">
        <w:rPr>
          <w:rFonts w:ascii="Times New Roman" w:eastAsia="Times New Roman" w:hAnsi="Times New Roman" w:cs="Times New Roman"/>
          <w:lang w:eastAsia="hu-HU"/>
        </w:rPr>
        <w:t>),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Bolgár utca és Kertész utca közötti, Szentendre 919/1 </w:t>
      </w:r>
      <w:proofErr w:type="spellStart"/>
      <w:r w:rsidRPr="00F83770">
        <w:rPr>
          <w:rFonts w:ascii="Times New Roman" w:eastAsia="Times New Roman" w:hAnsi="Times New Roman" w:cs="Times New Roman"/>
          <w:lang w:eastAsia="hu-HU"/>
        </w:rPr>
        <w:t>hrsz</w:t>
      </w:r>
      <w:proofErr w:type="spellEnd"/>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8"/>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w:t>
      </w:r>
      <w:proofErr w:type="gramEnd"/>
      <w:r w:rsidRPr="00F83770">
        <w:rPr>
          <w:rFonts w:ascii="Times New Roman" w:eastAsia="Times New Roman" w:hAnsi="Times New Roman" w:cs="Times New Roman"/>
          <w:lang w:eastAsia="hu-HU"/>
        </w:rPr>
        <w:t xml:space="preserve">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9"/>
      </w:r>
      <w:r>
        <w:rPr>
          <w:rFonts w:ascii="Times New Roman" w:hAnsi="Times New Roman" w:cs="Times New Roman"/>
        </w:rPr>
        <w:t xml:space="preserve">A IV. </w:t>
      </w:r>
      <w:proofErr w:type="gramStart"/>
      <w:r>
        <w:rPr>
          <w:rFonts w:ascii="Times New Roman" w:hAnsi="Times New Roman" w:cs="Times New Roman"/>
        </w:rPr>
        <w:t>zónába</w:t>
      </w:r>
      <w:proofErr w:type="gramEnd"/>
      <w:r>
        <w:rPr>
          <w:rFonts w:ascii="Times New Roman" w:hAnsi="Times New Roman" w:cs="Times New Roman"/>
        </w:rPr>
        <w:t xml:space="preserve">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lastRenderedPageBreak/>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autóbuszra és tehergépkocsira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1360 Ft/óra</w:t>
      </w:r>
    </w:p>
    <w:p w:rsidR="000D7D87" w:rsidRPr="00F83770"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280 Ft/óra</w:t>
      </w:r>
    </w:p>
    <w:p w:rsidR="000D7D87" w:rsidRDefault="000D7D87" w:rsidP="000D7D87">
      <w:pPr>
        <w:numPr>
          <w:ilvl w:val="1"/>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személygépkocsira vonatkozóan</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360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10"/>
      </w:r>
      <w:r w:rsidRPr="00DB1FB8">
        <w:rPr>
          <w:rFonts w:ascii="Times New Roman" w:hAnsi="Times New Roman" w:cs="Times New Roman"/>
        </w:rPr>
        <w:t xml:space="preserve">A IV. </w:t>
      </w:r>
      <w:proofErr w:type="gramStart"/>
      <w:r w:rsidRPr="00DB1FB8">
        <w:rPr>
          <w:rFonts w:ascii="Times New Roman" w:hAnsi="Times New Roman" w:cs="Times New Roman"/>
        </w:rPr>
        <w:t>zónában</w:t>
      </w:r>
      <w:proofErr w:type="gramEnd"/>
      <w:r w:rsidRPr="00DB1FB8">
        <w:rPr>
          <w:rFonts w:ascii="Times New Roman" w:hAnsi="Times New Roman" w:cs="Times New Roman"/>
        </w:rPr>
        <w:t xml:space="preserve"> személygépkocsira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Személygépkocsira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II. </w:t>
      </w:r>
      <w:proofErr w:type="gramStart"/>
      <w:r w:rsidRPr="00F83770">
        <w:rPr>
          <w:rFonts w:ascii="Times New Roman" w:eastAsia="Times New Roman" w:hAnsi="Times New Roman" w:cs="Times New Roman"/>
          <w:lang w:eastAsia="hu-HU"/>
        </w:rPr>
        <w:t>zónában</w:t>
      </w:r>
      <w:proofErr w:type="gramEnd"/>
      <w:r w:rsidRPr="00F83770">
        <w:rPr>
          <w:rFonts w:ascii="Times New Roman" w:eastAsia="Times New Roman" w:hAnsi="Times New Roman" w:cs="Times New Roman"/>
          <w:lang w:eastAsia="hu-HU"/>
        </w:rPr>
        <w:t xml:space="preserve">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lastRenderedPageBreak/>
              <w:t xml:space="preserve">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 xml:space="preserve">III. </w:t>
            </w:r>
            <w:proofErr w:type="gramStart"/>
            <w:r w:rsidRPr="00F83770">
              <w:rPr>
                <w:rFonts w:ascii="Times New Roman" w:eastAsia="Times New Roman" w:hAnsi="Times New Roman" w:cs="Times New Roman"/>
                <w:i/>
                <w:lang w:eastAsia="hu-HU"/>
              </w:rPr>
              <w:t>zóna</w:t>
            </w:r>
            <w:proofErr w:type="gramEnd"/>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w:t>
            </w:r>
            <w:proofErr w:type="gramStart"/>
            <w:r w:rsidRPr="00F83770">
              <w:rPr>
                <w:rFonts w:ascii="Times New Roman" w:eastAsia="Times New Roman" w:hAnsi="Times New Roman" w:cs="Times New Roman"/>
                <w:i/>
                <w:lang w:eastAsia="hu-HU"/>
              </w:rPr>
              <w:t>zóna</w:t>
            </w:r>
            <w:proofErr w:type="gramEnd"/>
            <w:r w:rsidRPr="00F83770">
              <w:rPr>
                <w:rFonts w:ascii="Times New Roman" w:eastAsia="Times New Roman" w:hAnsi="Times New Roman" w:cs="Times New Roman"/>
                <w:i/>
                <w:lang w:eastAsia="hu-HU"/>
              </w:rPr>
              <w:t>/busz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 xml:space="preserve">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w:t>
            </w:r>
            <w:proofErr w:type="gramStart"/>
            <w:r w:rsidRPr="00F83770">
              <w:rPr>
                <w:rFonts w:ascii="Times New Roman" w:eastAsia="Times New Roman" w:hAnsi="Times New Roman" w:cs="Times New Roman"/>
                <w:i/>
                <w:lang w:eastAsia="hu-HU"/>
              </w:rPr>
              <w:t>zóna</w:t>
            </w:r>
            <w:proofErr w:type="gramEnd"/>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D87" w:rsidRDefault="000D7D87" w:rsidP="000D7D87">
      <w:pPr>
        <w:spacing w:after="0" w:line="240" w:lineRule="auto"/>
      </w:pPr>
      <w:r>
        <w:separator/>
      </w:r>
    </w:p>
  </w:endnote>
  <w:endnote w:type="continuationSeparator" w:id="0">
    <w:p w:rsidR="000D7D87" w:rsidRDefault="000D7D87"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51887"/>
      <w:docPartObj>
        <w:docPartGallery w:val="Page Numbers (Bottom of Page)"/>
        <w:docPartUnique/>
      </w:docPartObj>
    </w:sdtPr>
    <w:sdtEndPr>
      <w:rPr>
        <w:rFonts w:ascii="Times New Roman" w:hAnsi="Times New Roman" w:cs="Times New Roman"/>
        <w:sz w:val="20"/>
      </w:rPr>
    </w:sdtEndPr>
    <w:sdtContent>
      <w:p w:rsidR="000D7D87" w:rsidRPr="000D7D87" w:rsidRDefault="000D7D87">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DB1FB8">
          <w:rPr>
            <w:rFonts w:ascii="Times New Roman" w:hAnsi="Times New Roman" w:cs="Times New Roman"/>
            <w:noProof/>
            <w:sz w:val="20"/>
          </w:rPr>
          <w:t>13</w:t>
        </w:r>
        <w:r w:rsidRPr="000D7D87">
          <w:rPr>
            <w:rFonts w:ascii="Times New Roman" w:hAnsi="Times New Roman" w:cs="Times New Roman"/>
            <w:sz w:val="20"/>
          </w:rPr>
          <w:fldChar w:fldCharType="end"/>
        </w:r>
      </w:p>
    </w:sdtContent>
  </w:sdt>
  <w:p w:rsidR="000D7D87" w:rsidRDefault="000D7D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D87" w:rsidRDefault="000D7D87" w:rsidP="000D7D87">
      <w:pPr>
        <w:spacing w:after="0" w:line="240" w:lineRule="auto"/>
      </w:pPr>
      <w:r>
        <w:separator/>
      </w:r>
    </w:p>
  </w:footnote>
  <w:footnote w:type="continuationSeparator" w:id="0">
    <w:p w:rsidR="000D7D87" w:rsidRDefault="000D7D87" w:rsidP="000D7D87">
      <w:pPr>
        <w:spacing w:after="0" w:line="240" w:lineRule="auto"/>
      </w:pPr>
      <w:r>
        <w:continuationSeparator/>
      </w:r>
    </w:p>
  </w:footnote>
  <w:footnote w:id="1">
    <w:p w:rsidR="0016016D" w:rsidRPr="0016016D" w:rsidRDefault="0016016D">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2F084F" w:rsidRPr="002F084F" w:rsidRDefault="002F084F">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3">
    <w:p w:rsidR="001671EF" w:rsidRDefault="001671EF">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4">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5">
    <w:p w:rsidR="001671EF" w:rsidRPr="001671EF" w:rsidRDefault="001671EF">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6">
    <w:p w:rsidR="001671EF" w:rsidRDefault="001671EF">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7">
    <w:p w:rsidR="00476B87" w:rsidRPr="001671EF" w:rsidRDefault="00476B87">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8">
    <w:p w:rsidR="00215610" w:rsidRPr="00215610" w:rsidRDefault="00215610">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9">
    <w:p w:rsidR="00215610" w:rsidRDefault="00215610">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10">
    <w:p w:rsidR="00DB1FB8" w:rsidRDefault="00DB1FB8">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9"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3"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7"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8"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9"/>
  </w:num>
  <w:num w:numId="2">
    <w:abstractNumId w:val="10"/>
  </w:num>
  <w:num w:numId="3">
    <w:abstractNumId w:val="3"/>
  </w:num>
  <w:num w:numId="4">
    <w:abstractNumId w:val="0"/>
  </w:num>
  <w:num w:numId="5">
    <w:abstractNumId w:val="11"/>
  </w:num>
  <w:num w:numId="6">
    <w:abstractNumId w:val="6"/>
  </w:num>
  <w:num w:numId="7">
    <w:abstractNumId w:val="18"/>
  </w:num>
  <w:num w:numId="8">
    <w:abstractNumId w:val="13"/>
  </w:num>
  <w:num w:numId="9">
    <w:abstractNumId w:val="12"/>
  </w:num>
  <w:num w:numId="10">
    <w:abstractNumId w:val="15"/>
  </w:num>
  <w:num w:numId="11">
    <w:abstractNumId w:val="7"/>
  </w:num>
  <w:num w:numId="12">
    <w:abstractNumId w:val="1"/>
  </w:num>
  <w:num w:numId="13">
    <w:abstractNumId w:val="5"/>
  </w:num>
  <w:num w:numId="14">
    <w:abstractNumId w:val="14"/>
  </w:num>
  <w:num w:numId="15">
    <w:abstractNumId w:val="19"/>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A729F"/>
    <w:rsid w:val="002C6E8A"/>
    <w:rsid w:val="002F084F"/>
    <w:rsid w:val="002F3ED6"/>
    <w:rsid w:val="00334878"/>
    <w:rsid w:val="00346D7C"/>
    <w:rsid w:val="003523F1"/>
    <w:rsid w:val="003E1EF8"/>
    <w:rsid w:val="003F4DD2"/>
    <w:rsid w:val="00434E40"/>
    <w:rsid w:val="00440410"/>
    <w:rsid w:val="00476B87"/>
    <w:rsid w:val="004B2BC6"/>
    <w:rsid w:val="004B791F"/>
    <w:rsid w:val="004E00D4"/>
    <w:rsid w:val="004F414B"/>
    <w:rsid w:val="004F7D7C"/>
    <w:rsid w:val="00514D40"/>
    <w:rsid w:val="005B5217"/>
    <w:rsid w:val="005C1376"/>
    <w:rsid w:val="005C2D85"/>
    <w:rsid w:val="005E5190"/>
    <w:rsid w:val="005E723D"/>
    <w:rsid w:val="00601A2B"/>
    <w:rsid w:val="00654092"/>
    <w:rsid w:val="0069623C"/>
    <w:rsid w:val="006A0582"/>
    <w:rsid w:val="006A5447"/>
    <w:rsid w:val="006B40A5"/>
    <w:rsid w:val="006C1927"/>
    <w:rsid w:val="006D7204"/>
    <w:rsid w:val="006E5B7A"/>
    <w:rsid w:val="00714F5C"/>
    <w:rsid w:val="0073003F"/>
    <w:rsid w:val="00743808"/>
    <w:rsid w:val="00826630"/>
    <w:rsid w:val="00882A63"/>
    <w:rsid w:val="008C0836"/>
    <w:rsid w:val="00911848"/>
    <w:rsid w:val="00974ED1"/>
    <w:rsid w:val="009A41E0"/>
    <w:rsid w:val="009B40AE"/>
    <w:rsid w:val="00A14024"/>
    <w:rsid w:val="00A524B1"/>
    <w:rsid w:val="00A65BC3"/>
    <w:rsid w:val="00AF53CE"/>
    <w:rsid w:val="00B252FD"/>
    <w:rsid w:val="00B526D9"/>
    <w:rsid w:val="00BB2DCF"/>
    <w:rsid w:val="00BC5567"/>
    <w:rsid w:val="00BD01AC"/>
    <w:rsid w:val="00BD2E4E"/>
    <w:rsid w:val="00BE0253"/>
    <w:rsid w:val="00BF356F"/>
    <w:rsid w:val="00BF64B7"/>
    <w:rsid w:val="00C11918"/>
    <w:rsid w:val="00C83031"/>
    <w:rsid w:val="00C91526"/>
    <w:rsid w:val="00CF4F4C"/>
    <w:rsid w:val="00D22C3B"/>
    <w:rsid w:val="00D40B50"/>
    <w:rsid w:val="00D6185B"/>
    <w:rsid w:val="00D623C1"/>
    <w:rsid w:val="00D73514"/>
    <w:rsid w:val="00DB1FB8"/>
    <w:rsid w:val="00DE1D0B"/>
    <w:rsid w:val="00E01B8D"/>
    <w:rsid w:val="00E07FEB"/>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9897"/>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B350-065C-40BF-9C9C-B601392E2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3677</Words>
  <Characters>25375</Characters>
  <Application>Microsoft Office Word</Application>
  <DocSecurity>0</DocSecurity>
  <Lines>211</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Bartha Enikő</cp:lastModifiedBy>
  <cp:revision>3</cp:revision>
  <cp:lastPrinted>2019-02-05T16:53:00Z</cp:lastPrinted>
  <dcterms:created xsi:type="dcterms:W3CDTF">2019-04-16T07:15:00Z</dcterms:created>
  <dcterms:modified xsi:type="dcterms:W3CDTF">2019-04-16T08:21:00Z</dcterms:modified>
</cp:coreProperties>
</file>