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FD"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a járművel történő várakozás rendjéről és a várakozási díjakról</w:t>
      </w:r>
    </w:p>
    <w:p w:rsidR="000B3FA4" w:rsidRPr="00F83770"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A védett és korlátozott övezetbe</w:t>
      </w:r>
      <w:r w:rsidR="00E70288" w:rsidRPr="00F83770">
        <w:rPr>
          <w:rFonts w:ascii="Times New Roman" w:hAnsi="Times New Roman" w:cs="Times New Roman"/>
        </w:rPr>
        <w:t>n</w:t>
      </w:r>
      <w:r w:rsidRPr="00F83770">
        <w:rPr>
          <w:rFonts w:ascii="Times New Roman" w:hAnsi="Times New Roman" w:cs="Times New Roman"/>
        </w:rPr>
        <w:t xml:space="preserve"> történő várakozásra a védett és korlátozott övezetekbe történő behajtásról szóló önkormányzati rendeletet kell alkalmazni.</w:t>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B5B35">
      <w:pPr>
        <w:pStyle w:val="Listaszerbekezds"/>
        <w:spacing w:after="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 xml:space="preserve">§-ban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kategória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Az 1. mellékletben meghatározott várakozási területeken a három vagy annál több kerekű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2A729F">
      <w:pPr>
        <w:pStyle w:val="Listaszerbekezds"/>
        <w:spacing w:after="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Pr="00F83770"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igénybevevője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területen járművel jogszerűen várakozni kizárólag a várakozáskor érvényes bizonylat, mobil parkolással megváltott jegy birtokában, vagy az e rendelet szerinti jogosultság alapján lehet. </w:t>
      </w:r>
    </w:p>
    <w:p w:rsidR="00BB2DCF" w:rsidRPr="00F83770" w:rsidRDefault="00BB2DCF" w:rsidP="00BB2DCF">
      <w:pPr>
        <w:pStyle w:val="Listaszerbekezds"/>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várakozási díjat a várakozás megkezdésekor a várakozási területen elhelyezett parkolójegy-kiadó automatánál vagy mobil parkolással kell megfizetni. A minimálisan megfizetendő várakozási idő 15 perc.</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BE0253" w:rsidRPr="00F8377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bizonylat a rajta feltüntetett időtartamig érvényes.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 rendszeres igénybevételéhez éves és időszakos bérlet váltható. Bérletet kizárólag személygépkocsira 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díjköteles várakozási területeken fizetendő várakozási díj és a pótdíj mértékét, valamint a bérletek díjait zónánként</w:t>
      </w:r>
      <w:r w:rsidR="001453C6" w:rsidRPr="00F83770">
        <w:rPr>
          <w:rFonts w:ascii="Times New Roman" w:hAnsi="Times New Roman" w:cs="Times New Roman"/>
        </w:rPr>
        <w:t>i</w:t>
      </w:r>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 </w:t>
      </w:r>
    </w:p>
    <w:p w:rsidR="00514D40" w:rsidRPr="00F83770" w:rsidRDefault="00514D40" w:rsidP="00514D40">
      <w:pPr>
        <w:pStyle w:val="Listaszerbekezds"/>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általános, egy vagy több zónára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Pr="00F83770" w:rsidRDefault="00514D40" w:rsidP="00514D40">
      <w:pPr>
        <w:pStyle w:val="Listaszerbekezds"/>
        <w:spacing w:after="0"/>
        <w:ind w:left="1440"/>
        <w:jc w:val="both"/>
        <w:rPr>
          <w:rFonts w:ascii="Times New Roman" w:hAnsi="Times New Roman" w:cs="Times New Roman"/>
        </w:rPr>
      </w:pPr>
      <w:r w:rsidRPr="00F83770">
        <w:rPr>
          <w:rFonts w:ascii="Times New Roman" w:hAnsi="Times New Roman" w:cs="Times New Roman"/>
        </w:rPr>
        <w:t>bérlet lehet.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Általános bérletet természetes személy, jogi személy és jogi személyiséggel nem rendelkező szervezet vásárolhat. Az általános bérlet a rajta feltüntetett zónában való várakozásra jogosít. A III. zóná</w:t>
      </w:r>
      <w:r w:rsidR="004F414B" w:rsidRPr="00F83770">
        <w:rPr>
          <w:rFonts w:ascii="Times New Roman" w:hAnsi="Times New Roman" w:cs="Times New Roman"/>
        </w:rPr>
        <w:t>ra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w:t>
      </w:r>
      <w:r w:rsidR="004F414B" w:rsidRPr="00F83770">
        <w:rPr>
          <w:rFonts w:ascii="Times New Roman" w:hAnsi="Times New Roman" w:cs="Times New Roman"/>
        </w:rPr>
        <w:t>munkáltató által kiállított igazolás ellenében egy személygépkocsira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lastRenderedPageBreak/>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r w:rsidRPr="00F83770">
        <w:rPr>
          <w:rFonts w:ascii="Times New Roman" w:hAnsi="Times New Roman" w:cs="Times New Roman"/>
        </w:rPr>
        <w:t>ab) a Szentendrei Járási Hivatal dolgozója,</w:t>
      </w:r>
    </w:p>
    <w:p w:rsidR="004F414B" w:rsidRPr="00F83770" w:rsidRDefault="004F414B" w:rsidP="004F414B">
      <w:pPr>
        <w:spacing w:after="0"/>
        <w:ind w:left="1980"/>
        <w:jc w:val="both"/>
        <w:rPr>
          <w:rFonts w:ascii="Times New Roman" w:hAnsi="Times New Roman" w:cs="Times New Roman"/>
        </w:rPr>
      </w:pPr>
      <w:r w:rsidRPr="00F83770">
        <w:rPr>
          <w:rFonts w:ascii="Times New Roman" w:hAnsi="Times New Roman" w:cs="Times New Roman"/>
        </w:rPr>
        <w:t xml:space="preserve">ac)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Járás települési önkormányzatai legfeljebb 2 személygépkocsira.</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Martinovics utca temető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r w:rsidRPr="00F83770">
        <w:rPr>
          <w:rFonts w:ascii="Times New Roman" w:hAnsi="Times New Roman" w:cs="Times New Roman"/>
        </w:rPr>
        <w:t xml:space="preserve">található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saját ingatlanán belül a </w:t>
      </w:r>
      <w:r w:rsidR="00C11918" w:rsidRPr="00F83770">
        <w:rPr>
          <w:rFonts w:ascii="Times New Roman" w:hAnsi="Times New Roman" w:cs="Times New Roman"/>
        </w:rPr>
        <w:t>személygépkocsi</w:t>
      </w:r>
      <w:r w:rsidR="00AF53CE" w:rsidRPr="00F83770">
        <w:rPr>
          <w:rFonts w:ascii="Times New Roman" w:hAnsi="Times New Roman" w:cs="Times New Roman"/>
        </w:rPr>
        <w:t xml:space="preserve"> tárolására. Lakóingatlanonként csak egy </w:t>
      </w:r>
      <w:r w:rsidR="00C11918" w:rsidRPr="00F83770">
        <w:rPr>
          <w:rFonts w:ascii="Times New Roman" w:hAnsi="Times New Roman" w:cs="Times New Roman"/>
        </w:rPr>
        <w:t>személygépkocsira</w:t>
      </w:r>
      <w:r w:rsidR="00AF53CE" w:rsidRPr="00F83770">
        <w:rPr>
          <w:rFonts w:ascii="Times New Roman" w:hAnsi="Times New Roman" w:cs="Times New Roman"/>
        </w:rPr>
        <w:t xml:space="preserve"> 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zónába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743808"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várakozási területe</w:t>
      </w:r>
      <w:r w:rsidR="00D40B50" w:rsidRPr="00F83770">
        <w:rPr>
          <w:rFonts w:ascii="Times New Roman" w:hAnsi="Times New Roman" w:cs="Times New Roman"/>
        </w:rPr>
        <w:t>ke</w:t>
      </w:r>
      <w:r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Pr="00F83770">
        <w:rPr>
          <w:rFonts w:ascii="Times New Roman" w:hAnsi="Times New Roman" w:cs="Times New Roman"/>
        </w:rPr>
        <w:t xml:space="preserve">szakorvosa, hivatásos ápoló, védőnő, szociális gondozó </w:t>
      </w:r>
      <w:r w:rsidR="00C11918" w:rsidRPr="00F83770">
        <w:rPr>
          <w:rFonts w:ascii="Times New Roman" w:hAnsi="Times New Roman" w:cs="Times New Roman"/>
        </w:rPr>
        <w:t>személy</w:t>
      </w:r>
      <w:r w:rsidRPr="00F83770">
        <w:rPr>
          <w:rFonts w:ascii="Times New Roman" w:hAnsi="Times New Roman" w:cs="Times New Roman"/>
        </w:rPr>
        <w:t xml:space="preserve">gépkocsijára egészségügyi szolgáltatói bérletet igényelhet, amellyel munkavégzése során a várakozási terület bármely zónájában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 xml:space="preserve">Az oktatási bérlet csak tanítási időszakban szeptember 1. és január 31., valamint február 1. és június 30. között használható. Az oktatási bérlet kizárólag a II. zónában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Szálláshely-szolgáltatói bérlet vásárolására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093A1B"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személygépkocsijának forgalmi</w:t>
      </w:r>
      <w:r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094279" w:rsidP="00094279">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lastRenderedPageBreak/>
        <w:t xml:space="preserve">Az e §-ban meghatározott bérleteket az üzemeltető ügyfélszolgálati irodájában lehet igényelni. A bérletek kiállításának feltétele a személygépkocsi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6185B" w:rsidP="00D6185B">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 személygépkocsi regisztrálásához</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személygépkocsi tulajdonosának személyi okmányai, nem természetes személy tulajdonos esetén cégkivonat vagy bírósági nyilvántartásról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C11918" w:rsidRPr="00F83770">
        <w:rPr>
          <w:rFonts w:ascii="Times New Roman" w:hAnsi="Times New Roman" w:cs="Times New Roman"/>
        </w:rPr>
        <w:t xml:space="preserve">személygépkocsi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Pr="00F83770"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p>
    <w:p w:rsidR="00223C9D" w:rsidRPr="00F83770" w:rsidRDefault="00223C9D" w:rsidP="00223C9D">
      <w:pPr>
        <w:pStyle w:val="Listaszerbekezds"/>
        <w:spacing w:after="0"/>
        <w:ind w:left="1440"/>
        <w:jc w:val="both"/>
        <w:rPr>
          <w:rFonts w:ascii="Times New Roman" w:hAnsi="Times New Roman" w:cs="Times New Roman"/>
        </w:rPr>
      </w:pPr>
      <w:r w:rsidRPr="00F83770">
        <w:rPr>
          <w:rFonts w:ascii="Times New Roman" w:hAnsi="Times New Roman" w:cs="Times New Roman"/>
        </w:rPr>
        <w:t>szükséges.</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223C9D">
      <w:pPr>
        <w:pStyle w:val="Listaszerbekezds"/>
        <w:spacing w:after="0"/>
        <w:ind w:left="144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Zrt.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1. melléklet 2.16. pontjában szereplő díjköteles várakozási területen a SZEI-vel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lastRenderedPageBreak/>
        <w:t>A polgármester az üzemeltető értesítése mellett valamennyi zónában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5C1376">
      <w:pPr>
        <w:pStyle w:val="Listaszerbekezds"/>
        <w:spacing w:after="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5C1376" w:rsidP="005C1376">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II. zónában 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r w:rsidRPr="00F83770">
        <w:rPr>
          <w:rFonts w:ascii="Times New Roman" w:hAnsi="Times New Roman" w:cs="Times New Roman"/>
        </w:rPr>
        <w:t xml:space="preserve">aki vagy ami a </w:t>
      </w:r>
      <w:r w:rsidR="004B2BC6" w:rsidRPr="00F83770">
        <w:rPr>
          <w:rFonts w:ascii="Times New Roman" w:hAnsi="Times New Roman" w:cs="Times New Roman"/>
        </w:rPr>
        <w:t>személygépkocsija</w:t>
      </w:r>
      <w:r w:rsidRPr="00F83770">
        <w:rPr>
          <w:rFonts w:ascii="Times New Roman" w:hAnsi="Times New Roman" w:cs="Times New Roman"/>
        </w:rPr>
        <w:t xml:space="preserve"> 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r w:rsidRPr="00F83770">
        <w:rPr>
          <w:rFonts w:ascii="Times New Roman" w:hAnsi="Times New Roman" w:cs="Times New Roman"/>
        </w:rPr>
        <w:t xml:space="preserve">aki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r w:rsidRPr="00F83770">
        <w:rPr>
          <w:rFonts w:ascii="Times New Roman" w:hAnsi="Times New Roman" w:cs="Times New Roman"/>
        </w:rPr>
        <w:t>akinek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r w:rsidRPr="00F83770">
        <w:rPr>
          <w:rFonts w:ascii="Times New Roman" w:hAnsi="Times New Roman" w:cs="Times New Roman"/>
        </w:rPr>
        <w:t xml:space="preserve">minden év március és szeptember hónapjában tájékoztatja a személygépkocsi tulajdonosokat és az üzembentartókat a jogosultság tényéről.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információs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w:t>
      </w:r>
      <w:r w:rsidRPr="00F83770">
        <w:rPr>
          <w:rFonts w:ascii="Times New Roman" w:hAnsi="Times New Roman" w:cs="Times New Roman"/>
        </w:rPr>
        <w:lastRenderedPageBreak/>
        <w:t xml:space="preserve">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vagy lezárt adóév tekintetében 1000 Ft-ot meghaladó késedelmi pótlék tartozást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jogosító matricát a szentendrei önkormányzati adóhatóság adja ki 1.000 Ft igazgatási</w:t>
      </w:r>
      <w:r w:rsidR="00E57D41" w:rsidRPr="00F83770">
        <w:rPr>
          <w:rFonts w:ascii="Times New Roman" w:hAnsi="Times New Roman" w:cs="Times New Roman"/>
        </w:rPr>
        <w:t xml:space="preserve"> díj megfizetése ellenében. A</w:t>
      </w:r>
      <w:r w:rsidRPr="00F83770">
        <w:rPr>
          <w:rFonts w:ascii="Times New Roman" w:hAnsi="Times New Roman" w:cs="Times New Roman"/>
        </w:rPr>
        <w:t xml:space="preserve"> matrica az adott elszámolási </w:t>
      </w:r>
      <w:r w:rsidR="00E57D41" w:rsidRPr="00F83770">
        <w:rPr>
          <w:rFonts w:ascii="Times New Roman" w:hAnsi="Times New Roman" w:cs="Times New Roman"/>
        </w:rPr>
        <w:t xml:space="preserve">időszak </w:t>
      </w:r>
      <w:r w:rsidRPr="00F83770">
        <w:rPr>
          <w:rFonts w:ascii="Times New Roman" w:hAnsi="Times New Roman" w:cs="Times New Roman"/>
        </w:rPr>
        <w:t>végéig érvényes.</w:t>
      </w:r>
    </w:p>
    <w:p w:rsidR="009B40AE" w:rsidRPr="00F83770" w:rsidRDefault="009B40AE" w:rsidP="00F030E0">
      <w:pPr>
        <w:pStyle w:val="Listaszerbekezds"/>
        <w:ind w:left="709"/>
        <w:rPr>
          <w:rFonts w:ascii="Times New Roman" w:hAnsi="Times New Roman" w:cs="Times New Roman"/>
        </w:rPr>
      </w:pP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ha az érvényes bizonylat nincs jól látható helyen elhelyezve, így arról a várakozásra jogosító időtartam nem olvasható le vagy a jogosultság az üzemeltető számára egyértelműen nem állapítható meg.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ellenőr várakozási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r w:rsidRPr="00F83770">
        <w:rPr>
          <w:rFonts w:ascii="Times New Roman" w:hAnsi="Times New Roman" w:cs="Times New Roman"/>
        </w:rPr>
        <w:t>eltelt.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r w:rsidRPr="00F83770">
        <w:rPr>
          <w:rFonts w:ascii="Times New Roman" w:hAnsi="Times New Roman" w:cs="Times New Roman"/>
        </w:rPr>
        <w:t>ba)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r w:rsidRPr="00F83770">
        <w:rPr>
          <w:rFonts w:ascii="Times New Roman" w:hAnsi="Times New Roman" w:cs="Times New Roman"/>
        </w:rPr>
        <w:t xml:space="preserve">érvényes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a mobil parkolás elindításáról szóló visszaigazoló sms-ben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törli a nyilvántartásából. </w:t>
      </w:r>
    </w:p>
    <w:p w:rsidR="00F030E0" w:rsidRPr="00F83770" w:rsidRDefault="00F030E0" w:rsidP="00F030E0">
      <w:pPr>
        <w:pStyle w:val="Listaszerbekezds"/>
        <w:spacing w:after="0"/>
        <w:jc w:val="both"/>
        <w:rPr>
          <w:rFonts w:ascii="Times New Roman" w:hAnsi="Times New Roman" w:cs="Times New Roman"/>
        </w:rPr>
      </w:pPr>
    </w:p>
    <w:p w:rsidR="00F974E7" w:rsidRPr="00F83770"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 </w:t>
      </w:r>
    </w:p>
    <w:p w:rsidR="00D22C3B" w:rsidRPr="00F83770" w:rsidRDefault="00D22C3B" w:rsidP="00D22C3B">
      <w:pPr>
        <w:pStyle w:val="Listaszerbekezds"/>
        <w:rPr>
          <w:rFonts w:ascii="Times New Roman" w:hAnsi="Times New Roman" w:cs="Times New Roman"/>
        </w:rPr>
      </w:pPr>
    </w:p>
    <w:p w:rsidR="00D22C3B" w:rsidRPr="00F83770"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Az üzemeltető a jogosulatlanul várakozó gépjárműveket csak auditált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5B5217" w:rsidRPr="00F83770" w:rsidRDefault="005B5217" w:rsidP="005B5217">
      <w:pPr>
        <w:pStyle w:val="Listaszerbekezds"/>
        <w:rPr>
          <w:rFonts w:ascii="Times New Roman" w:hAnsi="Times New Roman" w:cs="Times New Roman"/>
        </w:rPr>
      </w:pPr>
    </w:p>
    <w:p w:rsidR="005B5217" w:rsidRPr="00F83770" w:rsidRDefault="005B5217" w:rsidP="005B5217">
      <w:pPr>
        <w:pStyle w:val="Listaszerbekezds"/>
        <w:spacing w:after="0"/>
        <w:ind w:left="567"/>
        <w:jc w:val="center"/>
        <w:rPr>
          <w:rFonts w:ascii="Times New Roman" w:hAnsi="Times New Roman" w:cs="Times New Roman"/>
        </w:rPr>
      </w:pPr>
      <w:r w:rsidRPr="00F83770">
        <w:rPr>
          <w:rFonts w:ascii="Times New Roman" w:hAnsi="Times New Roman" w:cs="Times New Roman"/>
        </w:rPr>
        <w:lastRenderedPageBreak/>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 xml:space="preserve">E rendelet </w:t>
      </w:r>
      <w:r w:rsidR="003F4DD2" w:rsidRPr="00F83770">
        <w:rPr>
          <w:rFonts w:ascii="Times New Roman" w:hAnsi="Times New Roman" w:cs="Times New Roman"/>
        </w:rPr>
        <w:t>2019. március 1.</w:t>
      </w:r>
      <w:r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b/>
          <w:lang w:eastAsia="hu-HU"/>
        </w:rPr>
        <w:t>Verseghi-Nagy Miklós</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polgármester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P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2018.december 17-én került kihirdetésre.</w:t>
      </w: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r w:rsidRPr="00F83770">
        <w:rPr>
          <w:rFonts w:ascii="Times New Roman" w:hAnsi="Times New Roman" w:cs="Times New Roman"/>
          <w:b/>
        </w:rPr>
        <w:t>dr. Gerendás 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r w:rsidRPr="00F83770">
        <w:rPr>
          <w:rFonts w:ascii="Times New Roman" w:hAnsi="Times New Roman" w:cs="Times New Roman"/>
        </w:rPr>
        <w:t>jegyző</w:t>
      </w:r>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bookmarkStart w:id="0" w:name="_GoBack"/>
      <w:bookmarkEnd w:id="0"/>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 Az I. zónába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(Teátrum parkoló)</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  A II. zónába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(Teátrum parkoló),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 part jobb oldala a Vuk Karadzsics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és Kertész utca közötti, Szentendre 919/1 hrsz</w:t>
      </w:r>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felszíni parkoló.</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Kossuth Lajos utca a Római sánc köz és a Vuk Karadzsics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Vuk Karadzsics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0D7D87">
      <w:pPr>
        <w:spacing w:after="0" w:line="240" w:lineRule="auto"/>
        <w:jc w:val="center"/>
        <w:rPr>
          <w:rFonts w:ascii="Times New Roman" w:eastAsia="Times New Roman" w:hAnsi="Times New Roman" w:cs="Times New Roman"/>
          <w:u w:val="single"/>
          <w:lang w:eastAsia="hu-HU"/>
        </w:rPr>
      </w:pPr>
    </w:p>
    <w:p w:rsidR="000D7D87" w:rsidRPr="00F83770" w:rsidRDefault="000D7D87" w:rsidP="000D7D87">
      <w:pPr>
        <w:spacing w:after="0" w:line="240" w:lineRule="auto"/>
        <w:jc w:val="center"/>
        <w:rPr>
          <w:rFonts w:ascii="Times New Roman" w:eastAsia="Times New Roman" w:hAnsi="Times New Roman" w:cs="Times New Roman"/>
          <w:u w:val="single"/>
          <w:lang w:eastAsia="hu-HU"/>
        </w:rPr>
      </w:pPr>
    </w:p>
    <w:p w:rsidR="000D7D87" w:rsidRPr="00F83770" w:rsidRDefault="000D7D87" w:rsidP="009B40AE">
      <w:pPr>
        <w:spacing w:after="0"/>
        <w:jc w:val="both"/>
        <w:rPr>
          <w:rFonts w:ascii="Times New Roman" w:hAnsi="Times New Roman" w:cs="Times New Roman"/>
        </w:rPr>
      </w:pPr>
    </w:p>
    <w:p w:rsidR="000D7D87" w:rsidRPr="00F83770" w:rsidRDefault="000D7D87">
      <w:pPr>
        <w:rPr>
          <w:rFonts w:ascii="Times New Roman" w:hAnsi="Times New Roman" w:cs="Times New Roman"/>
        </w:rPr>
      </w:pPr>
      <w:r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lastRenderedPageBreak/>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Az I. zónában autóbuszra és tehergépkocsira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1360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személykocsira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280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személygépkocsira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360 Ft/óra</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Személygépkocsira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 zóna</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III. zóna</w:t>
            </w:r>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lastRenderedPageBreak/>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87" w:rsidRDefault="000D7D87" w:rsidP="000D7D87">
      <w:pPr>
        <w:spacing w:after="0" w:line="240" w:lineRule="auto"/>
      </w:pPr>
      <w:r>
        <w:separator/>
      </w:r>
    </w:p>
  </w:endnote>
  <w:endnote w:type="continuationSeparator" w:id="0">
    <w:p w:rsidR="000D7D87" w:rsidRDefault="000D7D87"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1887"/>
      <w:docPartObj>
        <w:docPartGallery w:val="Page Numbers (Bottom of Page)"/>
        <w:docPartUnique/>
      </w:docPartObj>
    </w:sdtPr>
    <w:sdtEndPr>
      <w:rPr>
        <w:rFonts w:ascii="Times New Roman" w:hAnsi="Times New Roman" w:cs="Times New Roman"/>
        <w:sz w:val="20"/>
      </w:rPr>
    </w:sdtEndPr>
    <w:sdtContent>
      <w:p w:rsidR="000D7D87" w:rsidRPr="000D7D87" w:rsidRDefault="000D7D87">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F83770">
          <w:rPr>
            <w:rFonts w:ascii="Times New Roman" w:hAnsi="Times New Roman" w:cs="Times New Roman"/>
            <w:noProof/>
            <w:sz w:val="20"/>
          </w:rPr>
          <w:t>1</w:t>
        </w:r>
        <w:r w:rsidRPr="000D7D87">
          <w:rPr>
            <w:rFonts w:ascii="Times New Roman" w:hAnsi="Times New Roman" w:cs="Times New Roman"/>
            <w:sz w:val="20"/>
          </w:rPr>
          <w:fldChar w:fldCharType="end"/>
        </w:r>
      </w:p>
    </w:sdtContent>
  </w:sdt>
  <w:p w:rsidR="000D7D87" w:rsidRDefault="000D7D8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87" w:rsidRDefault="000D7D87" w:rsidP="000D7D87">
      <w:pPr>
        <w:spacing w:after="0" w:line="240" w:lineRule="auto"/>
      </w:pPr>
      <w:r>
        <w:separator/>
      </w:r>
    </w:p>
  </w:footnote>
  <w:footnote w:type="continuationSeparator" w:id="0">
    <w:p w:rsidR="000D7D87" w:rsidRDefault="000D7D87" w:rsidP="000D7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5"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384027"/>
    <w:multiLevelType w:val="multilevel"/>
    <w:tmpl w:val="3778548C"/>
    <w:lvl w:ilvl="0">
      <w:start w:val="2"/>
      <w:numFmt w:val="decimal"/>
      <w:lvlText w:val="%1."/>
      <w:lvlJc w:val="left"/>
      <w:pPr>
        <w:ind w:left="360" w:hanging="360"/>
      </w:pPr>
      <w:rPr>
        <w:sz w:val="24"/>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8"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2"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7"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8"/>
  </w:num>
  <w:num w:numId="2">
    <w:abstractNumId w:val="9"/>
  </w:num>
  <w:num w:numId="3">
    <w:abstractNumId w:val="3"/>
  </w:num>
  <w:num w:numId="4">
    <w:abstractNumId w:val="0"/>
  </w:num>
  <w:num w:numId="5">
    <w:abstractNumId w:val="10"/>
  </w:num>
  <w:num w:numId="6">
    <w:abstractNumId w:val="5"/>
  </w:num>
  <w:num w:numId="7">
    <w:abstractNumId w:val="17"/>
  </w:num>
  <w:num w:numId="8">
    <w:abstractNumId w:val="12"/>
  </w:num>
  <w:num w:numId="9">
    <w:abstractNumId w:val="11"/>
  </w:num>
  <w:num w:numId="10">
    <w:abstractNumId w:val="14"/>
  </w:num>
  <w:num w:numId="11">
    <w:abstractNumId w:val="6"/>
  </w:num>
  <w:num w:numId="12">
    <w:abstractNumId w:val="1"/>
  </w:num>
  <w:num w:numId="13">
    <w:abstractNumId w:val="4"/>
  </w:num>
  <w:num w:numId="14">
    <w:abstractNumId w:val="13"/>
  </w:num>
  <w:num w:numId="15">
    <w:abstractNumId w:val="18"/>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93A1B"/>
    <w:rsid w:val="00094279"/>
    <w:rsid w:val="000B3FA4"/>
    <w:rsid w:val="000D7D87"/>
    <w:rsid w:val="00113BBE"/>
    <w:rsid w:val="001453C6"/>
    <w:rsid w:val="00155FB5"/>
    <w:rsid w:val="001B5B35"/>
    <w:rsid w:val="001C0863"/>
    <w:rsid w:val="001D6E8F"/>
    <w:rsid w:val="00201F4A"/>
    <w:rsid w:val="00223C9D"/>
    <w:rsid w:val="002A729F"/>
    <w:rsid w:val="002C6E8A"/>
    <w:rsid w:val="002F3ED6"/>
    <w:rsid w:val="00334878"/>
    <w:rsid w:val="00346D7C"/>
    <w:rsid w:val="003523F1"/>
    <w:rsid w:val="003E1EF8"/>
    <w:rsid w:val="003F4DD2"/>
    <w:rsid w:val="00434E40"/>
    <w:rsid w:val="004B2BC6"/>
    <w:rsid w:val="004B791F"/>
    <w:rsid w:val="004E00D4"/>
    <w:rsid w:val="004F414B"/>
    <w:rsid w:val="004F7D7C"/>
    <w:rsid w:val="00514D40"/>
    <w:rsid w:val="005B5217"/>
    <w:rsid w:val="005C1376"/>
    <w:rsid w:val="005C2D85"/>
    <w:rsid w:val="005E5190"/>
    <w:rsid w:val="005E723D"/>
    <w:rsid w:val="00601A2B"/>
    <w:rsid w:val="00654092"/>
    <w:rsid w:val="0069623C"/>
    <w:rsid w:val="006A0582"/>
    <w:rsid w:val="006A5447"/>
    <w:rsid w:val="006B40A5"/>
    <w:rsid w:val="006C1927"/>
    <w:rsid w:val="006D7204"/>
    <w:rsid w:val="006E5B7A"/>
    <w:rsid w:val="00714F5C"/>
    <w:rsid w:val="0073003F"/>
    <w:rsid w:val="00743808"/>
    <w:rsid w:val="00826630"/>
    <w:rsid w:val="00882A63"/>
    <w:rsid w:val="008C0836"/>
    <w:rsid w:val="00911848"/>
    <w:rsid w:val="00974ED1"/>
    <w:rsid w:val="009A41E0"/>
    <w:rsid w:val="009B40AE"/>
    <w:rsid w:val="00A14024"/>
    <w:rsid w:val="00A524B1"/>
    <w:rsid w:val="00A65BC3"/>
    <w:rsid w:val="00AF53CE"/>
    <w:rsid w:val="00B252FD"/>
    <w:rsid w:val="00B526D9"/>
    <w:rsid w:val="00BB2DCF"/>
    <w:rsid w:val="00BC5567"/>
    <w:rsid w:val="00BD01AC"/>
    <w:rsid w:val="00BD2E4E"/>
    <w:rsid w:val="00BE0253"/>
    <w:rsid w:val="00BF356F"/>
    <w:rsid w:val="00BF64B7"/>
    <w:rsid w:val="00C11918"/>
    <w:rsid w:val="00C83031"/>
    <w:rsid w:val="00C91526"/>
    <w:rsid w:val="00CF4F4C"/>
    <w:rsid w:val="00D22C3B"/>
    <w:rsid w:val="00D40B50"/>
    <w:rsid w:val="00D6185B"/>
    <w:rsid w:val="00D623C1"/>
    <w:rsid w:val="00D73514"/>
    <w:rsid w:val="00DE1D0B"/>
    <w:rsid w:val="00E01B8D"/>
    <w:rsid w:val="00E07FEB"/>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1417"/>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3411</Words>
  <Characters>23538</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Bartha Enikő</cp:lastModifiedBy>
  <cp:revision>2</cp:revision>
  <dcterms:created xsi:type="dcterms:W3CDTF">2018-12-13T16:55:00Z</dcterms:created>
  <dcterms:modified xsi:type="dcterms:W3CDTF">2018-12-13T16:55:00Z</dcterms:modified>
</cp:coreProperties>
</file>