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83" w:rsidRPr="00F96D49" w:rsidRDefault="00505B83" w:rsidP="003118B8">
      <w:pPr>
        <w:spacing w:line="276" w:lineRule="auto"/>
        <w:jc w:val="center"/>
        <w:rPr>
          <w:b/>
          <w:bCs/>
          <w:sz w:val="22"/>
          <w:szCs w:val="22"/>
        </w:rPr>
      </w:pPr>
      <w:bookmarkStart w:id="0" w:name="_GoBack"/>
      <w:bookmarkEnd w:id="0"/>
      <w:r w:rsidRPr="00F96D49">
        <w:rPr>
          <w:b/>
          <w:bCs/>
          <w:sz w:val="22"/>
          <w:szCs w:val="22"/>
        </w:rPr>
        <w:t>Szentendre Város Önkormányzat Képviselő-testületének</w:t>
      </w:r>
    </w:p>
    <w:p w:rsidR="00505B83" w:rsidRPr="00F96D49" w:rsidRDefault="00F96D49" w:rsidP="003118B8">
      <w:pPr>
        <w:spacing w:line="276" w:lineRule="auto"/>
        <w:jc w:val="center"/>
        <w:rPr>
          <w:b/>
          <w:bCs/>
          <w:sz w:val="22"/>
          <w:szCs w:val="22"/>
          <w:lang w:eastAsia="en-US"/>
        </w:rPr>
      </w:pPr>
      <w:r w:rsidRPr="00F96D49">
        <w:rPr>
          <w:b/>
          <w:bCs/>
          <w:sz w:val="22"/>
          <w:szCs w:val="22"/>
          <w:lang w:eastAsia="en-US"/>
        </w:rPr>
        <w:t>37/2015. (XI.17.</w:t>
      </w:r>
      <w:r w:rsidR="00505B83" w:rsidRPr="00F96D49">
        <w:rPr>
          <w:b/>
          <w:bCs/>
          <w:sz w:val="22"/>
          <w:szCs w:val="22"/>
          <w:lang w:eastAsia="en-US"/>
        </w:rPr>
        <w:t>) önkormányzati rendelete</w:t>
      </w:r>
    </w:p>
    <w:p w:rsidR="00505B83" w:rsidRPr="00F96D49" w:rsidRDefault="00505B83" w:rsidP="003118B8">
      <w:pPr>
        <w:spacing w:line="276" w:lineRule="auto"/>
        <w:jc w:val="center"/>
        <w:rPr>
          <w:b/>
          <w:bCs/>
          <w:sz w:val="22"/>
          <w:szCs w:val="22"/>
        </w:rPr>
      </w:pPr>
    </w:p>
    <w:p w:rsidR="00505B83" w:rsidRPr="00F96D49" w:rsidRDefault="00505B83" w:rsidP="003118B8">
      <w:pPr>
        <w:spacing w:line="276" w:lineRule="auto"/>
        <w:jc w:val="center"/>
        <w:rPr>
          <w:b/>
          <w:bCs/>
          <w:sz w:val="22"/>
          <w:szCs w:val="22"/>
        </w:rPr>
      </w:pPr>
      <w:r w:rsidRPr="00F96D49">
        <w:rPr>
          <w:b/>
          <w:bCs/>
          <w:sz w:val="22"/>
          <w:szCs w:val="22"/>
        </w:rPr>
        <w:t>Szentendre Város Helyi Építési Szabályzata és</w:t>
      </w:r>
    </w:p>
    <w:p w:rsidR="00505B83" w:rsidRPr="00F96D49" w:rsidRDefault="00505B83" w:rsidP="003118B8">
      <w:pPr>
        <w:spacing w:line="276" w:lineRule="auto"/>
        <w:jc w:val="center"/>
        <w:rPr>
          <w:b/>
          <w:bCs/>
          <w:sz w:val="22"/>
          <w:szCs w:val="22"/>
        </w:rPr>
      </w:pPr>
      <w:r w:rsidRPr="00F96D49">
        <w:rPr>
          <w:b/>
          <w:bCs/>
          <w:sz w:val="22"/>
          <w:szCs w:val="22"/>
        </w:rPr>
        <w:t>Szabályozási Tervéről szóló 21/2002.(VIII. 15.) Önk. sz. rendelet módosításáról</w:t>
      </w:r>
    </w:p>
    <w:p w:rsidR="00505B83" w:rsidRPr="00F96D49" w:rsidRDefault="00505B83" w:rsidP="006E7D54">
      <w:pPr>
        <w:spacing w:line="276" w:lineRule="auto"/>
        <w:jc w:val="center"/>
        <w:rPr>
          <w:b/>
          <w:bCs/>
          <w:sz w:val="22"/>
          <w:szCs w:val="22"/>
        </w:rPr>
      </w:pPr>
    </w:p>
    <w:p w:rsidR="00505B83" w:rsidRPr="00F96D49" w:rsidRDefault="00505B83" w:rsidP="006E7D54">
      <w:pPr>
        <w:widowControl w:val="0"/>
        <w:autoSpaceDE w:val="0"/>
        <w:autoSpaceDN w:val="0"/>
        <w:adjustRightInd w:val="0"/>
        <w:jc w:val="both"/>
        <w:rPr>
          <w:sz w:val="22"/>
          <w:szCs w:val="22"/>
        </w:rPr>
      </w:pPr>
      <w:r w:rsidRPr="00F96D49">
        <w:rPr>
          <w:sz w:val="22"/>
          <w:szCs w:val="22"/>
        </w:rPr>
        <w:t>Szentendre Város Önkormányzat Képviselő-testülete az Alaptörvény 32. cikk (1) bekezdés a) pontjában meghatározott feladatkörében eljárva és az épített környezet alakításáról és védelméről szóló 1997. évi LXXVIII. törvény 62.§ (6) bekezdés 6. pontjában kapott felhatalmazás alapján, a 253/1997. (XII. 20.) Korm. rendelet rendelkezéseinek figyelembe vételével, a településfejlesztési koncepcióról, az integrált településfejlesztési stratégiáról és a településrendezési eszközökről, valamint egyes településrendezési sajátos jogintézményekről szóló 314/2012. (XI. 8.) Korm. rendelet 38. § szakaszában biztosított véleményezési jogkörében eljáró és a 9. mellékletében felsorolt államigazgatási szervek, továbbá a Szentendre Város Önkormányzat Képviselő-testületének Szentendre város településfejlesztésével és településrendezésével összefüggő partnerségi egyeztetés szabályairól szóló 4/2015. (II.17.) önkormányzati rendeletben megjelöltek véleményének kikérésével Szentendre Város Helyi Építési Szabályzatáról és Szabályozási Tervéről szóló 21/2002. (VIII.15.) Önk. sz. rendelet módosításáról az alábbi rendeletet alkotja:</w:t>
      </w:r>
    </w:p>
    <w:p w:rsidR="00505B83" w:rsidRPr="00F96D49" w:rsidRDefault="00505B83" w:rsidP="006E7D54">
      <w:pPr>
        <w:spacing w:line="276" w:lineRule="auto"/>
        <w:jc w:val="center"/>
        <w:rPr>
          <w:sz w:val="22"/>
          <w:szCs w:val="22"/>
        </w:rPr>
      </w:pPr>
    </w:p>
    <w:p w:rsidR="00505B83" w:rsidRPr="00F96D49" w:rsidRDefault="00505B83" w:rsidP="00A93619">
      <w:pPr>
        <w:tabs>
          <w:tab w:val="left" w:pos="709"/>
        </w:tabs>
        <w:spacing w:before="240" w:after="120"/>
        <w:ind w:left="705" w:hanging="705"/>
        <w:rPr>
          <w:sz w:val="22"/>
          <w:szCs w:val="22"/>
        </w:rPr>
      </w:pPr>
      <w:r w:rsidRPr="00F96D49">
        <w:rPr>
          <w:sz w:val="22"/>
          <w:szCs w:val="22"/>
        </w:rPr>
        <w:t xml:space="preserve">1.§  Szentendre Város Helyi Építési Szabályzatáról és Szabályozási Tervéről szóló 21/2002. (VIII.15.) Önk. sz. rendelet </w:t>
      </w:r>
      <w:r w:rsidRPr="00F96D49">
        <w:rPr>
          <w:sz w:val="22"/>
          <w:szCs w:val="22"/>
          <w:lang w:eastAsia="en-US"/>
        </w:rPr>
        <w:t>(a továbbiakban: HÉSZ)</w:t>
      </w:r>
      <w:r w:rsidRPr="00F96D49">
        <w:rPr>
          <w:sz w:val="22"/>
          <w:szCs w:val="22"/>
        </w:rPr>
        <w:t xml:space="preserve"> 2. § (2) bekezdés a következő j) ponttal egészül ki: </w:t>
      </w:r>
    </w:p>
    <w:p w:rsidR="00505B83" w:rsidRPr="00F96D49" w:rsidRDefault="00505B83" w:rsidP="006E7D54">
      <w:pPr>
        <w:shd w:val="clear" w:color="auto" w:fill="FFFFFF"/>
        <w:tabs>
          <w:tab w:val="left" w:pos="567"/>
          <w:tab w:val="left" w:pos="851"/>
        </w:tabs>
        <w:spacing w:before="120"/>
        <w:ind w:left="720" w:hanging="436"/>
        <w:jc w:val="both"/>
        <w:rPr>
          <w:i/>
          <w:iCs/>
          <w:sz w:val="22"/>
          <w:szCs w:val="22"/>
        </w:rPr>
      </w:pPr>
      <w:r w:rsidRPr="00F96D49">
        <w:rPr>
          <w:i/>
          <w:iCs/>
          <w:sz w:val="22"/>
          <w:szCs w:val="22"/>
        </w:rPr>
        <w:t>„j)</w:t>
      </w:r>
      <w:r w:rsidRPr="00F96D49">
        <w:rPr>
          <w:i/>
          <w:iCs/>
          <w:sz w:val="22"/>
          <w:szCs w:val="22"/>
        </w:rPr>
        <w:tab/>
        <w:t xml:space="preserve"> </w:t>
      </w:r>
      <w:r w:rsidRPr="00F96D49">
        <w:rPr>
          <w:sz w:val="22"/>
          <w:szCs w:val="22"/>
        </w:rPr>
        <w:t>a fedvényterveken megjelölt további szabályozási elemek.”</w:t>
      </w:r>
    </w:p>
    <w:p w:rsidR="00505B83" w:rsidRPr="00F96D49" w:rsidRDefault="00505B83" w:rsidP="006E7D54">
      <w:pPr>
        <w:tabs>
          <w:tab w:val="left" w:pos="426"/>
          <w:tab w:val="left" w:pos="709"/>
          <w:tab w:val="left" w:pos="993"/>
        </w:tabs>
        <w:spacing w:before="120"/>
        <w:rPr>
          <w:sz w:val="22"/>
          <w:szCs w:val="22"/>
        </w:rPr>
      </w:pPr>
      <w:r w:rsidRPr="00F96D49">
        <w:rPr>
          <w:sz w:val="22"/>
          <w:szCs w:val="22"/>
        </w:rPr>
        <w:t>2. §</w:t>
      </w:r>
      <w:r w:rsidRPr="00F96D49">
        <w:rPr>
          <w:sz w:val="22"/>
          <w:szCs w:val="22"/>
        </w:rPr>
        <w:tab/>
        <w:t>(1)</w:t>
      </w:r>
      <w:r w:rsidRPr="00F96D49">
        <w:rPr>
          <w:sz w:val="22"/>
          <w:szCs w:val="22"/>
        </w:rPr>
        <w:tab/>
        <w:t xml:space="preserve">A </w:t>
      </w:r>
      <w:r w:rsidRPr="00F96D49">
        <w:rPr>
          <w:sz w:val="22"/>
          <w:szCs w:val="22"/>
          <w:lang w:eastAsia="en-US"/>
        </w:rPr>
        <w:t>HÉSZ</w:t>
      </w:r>
      <w:r w:rsidRPr="00F96D49">
        <w:rPr>
          <w:sz w:val="22"/>
          <w:szCs w:val="22"/>
        </w:rPr>
        <w:t xml:space="preserve"> 14. § (7) bekezdés helyébe a következő rendelkezés lép:</w:t>
      </w:r>
    </w:p>
    <w:p w:rsidR="00505B83" w:rsidRPr="00F96D49" w:rsidRDefault="00505B83" w:rsidP="002258C2">
      <w:pPr>
        <w:tabs>
          <w:tab w:val="left" w:pos="709"/>
          <w:tab w:val="left" w:pos="1276"/>
        </w:tabs>
        <w:spacing w:before="120"/>
        <w:ind w:left="3969" w:hanging="3685"/>
        <w:rPr>
          <w:sz w:val="22"/>
          <w:szCs w:val="22"/>
        </w:rPr>
      </w:pPr>
      <w:r w:rsidRPr="00F96D49">
        <w:rPr>
          <w:sz w:val="22"/>
          <w:szCs w:val="22"/>
        </w:rPr>
        <w:t>„(7)</w:t>
      </w:r>
      <w:r w:rsidRPr="00F96D49">
        <w:rPr>
          <w:sz w:val="22"/>
          <w:szCs w:val="22"/>
        </w:rPr>
        <w:tab/>
      </w:r>
      <w:r w:rsidRPr="00F96D49">
        <w:rPr>
          <w:b/>
          <w:bCs/>
          <w:sz w:val="22"/>
          <w:szCs w:val="22"/>
        </w:rPr>
        <w:t>Települési főutak</w:t>
      </w:r>
      <w:r w:rsidRPr="00F96D49">
        <w:rPr>
          <w:sz w:val="22"/>
          <w:szCs w:val="22"/>
        </w:rPr>
        <w:t xml:space="preserve"> (B.IV.C.D) </w:t>
      </w:r>
      <w:r w:rsidRPr="00F96D49">
        <w:rPr>
          <w:sz w:val="22"/>
          <w:szCs w:val="22"/>
        </w:rPr>
        <w:tab/>
        <w:t xml:space="preserve">a szabályozási terven jelölt úttelek kialakult szélessége mellett: </w:t>
      </w:r>
    </w:p>
    <w:p w:rsidR="00505B83" w:rsidRPr="00F96D49" w:rsidRDefault="00505B83" w:rsidP="006E7D54">
      <w:pPr>
        <w:tabs>
          <w:tab w:val="left" w:pos="709"/>
          <w:tab w:val="left" w:pos="1276"/>
          <w:tab w:val="left" w:pos="3969"/>
        </w:tabs>
        <w:spacing w:before="120"/>
        <w:ind w:left="993" w:hanging="709"/>
        <w:rPr>
          <w:sz w:val="22"/>
          <w:szCs w:val="22"/>
        </w:rPr>
      </w:pPr>
      <w:r w:rsidRPr="00F96D49">
        <w:rPr>
          <w:sz w:val="22"/>
          <w:szCs w:val="22"/>
        </w:rPr>
        <w:tab/>
        <w:t xml:space="preserve">Szentlászlói út </w:t>
      </w:r>
      <w:r w:rsidRPr="00F96D49">
        <w:rPr>
          <w:sz w:val="22"/>
          <w:szCs w:val="22"/>
        </w:rPr>
        <w:tab/>
        <w:t>= minimális szabályzási szélessége 16 m</w:t>
      </w:r>
    </w:p>
    <w:p w:rsidR="00505B83" w:rsidRPr="00F96D49" w:rsidRDefault="00505B83" w:rsidP="006E7D54">
      <w:pPr>
        <w:tabs>
          <w:tab w:val="left" w:pos="709"/>
          <w:tab w:val="left" w:pos="1276"/>
          <w:tab w:val="left" w:pos="3261"/>
        </w:tabs>
        <w:spacing w:before="120"/>
        <w:ind w:left="993" w:hanging="709"/>
        <w:rPr>
          <w:sz w:val="22"/>
          <w:szCs w:val="22"/>
        </w:rPr>
      </w:pPr>
      <w:r w:rsidRPr="00F96D49">
        <w:rPr>
          <w:sz w:val="22"/>
          <w:szCs w:val="22"/>
        </w:rPr>
        <w:tab/>
        <w:t xml:space="preserve">Sztaravodai út és Szarvashegyi út </w:t>
      </w:r>
      <w:r w:rsidRPr="00F96D49">
        <w:rPr>
          <w:sz w:val="22"/>
          <w:szCs w:val="22"/>
        </w:rPr>
        <w:tab/>
        <w:t xml:space="preserve">        = minimális szabályzási szélessége 20 m”</w:t>
      </w:r>
    </w:p>
    <w:p w:rsidR="00505B83" w:rsidRPr="00F96D49" w:rsidRDefault="00505B83" w:rsidP="006E7D54">
      <w:pPr>
        <w:tabs>
          <w:tab w:val="left" w:pos="426"/>
          <w:tab w:val="left" w:pos="709"/>
          <w:tab w:val="left" w:pos="993"/>
        </w:tabs>
        <w:spacing w:before="120"/>
        <w:rPr>
          <w:sz w:val="22"/>
          <w:szCs w:val="22"/>
        </w:rPr>
      </w:pPr>
      <w:r w:rsidRPr="00F96D49">
        <w:rPr>
          <w:sz w:val="22"/>
          <w:szCs w:val="22"/>
        </w:rPr>
        <w:t>(2)</w:t>
      </w:r>
      <w:r w:rsidRPr="00F96D49">
        <w:rPr>
          <w:sz w:val="22"/>
          <w:szCs w:val="22"/>
        </w:rPr>
        <w:tab/>
        <w:t xml:space="preserve">A </w:t>
      </w:r>
      <w:r w:rsidRPr="00F96D49">
        <w:rPr>
          <w:sz w:val="22"/>
          <w:szCs w:val="22"/>
          <w:lang w:eastAsia="en-US"/>
        </w:rPr>
        <w:t>HÉSZ</w:t>
      </w:r>
      <w:r w:rsidRPr="00F96D49">
        <w:rPr>
          <w:sz w:val="22"/>
          <w:szCs w:val="22"/>
        </w:rPr>
        <w:t xml:space="preserve"> 14. § (37) bekezdés helyébe a következő rendelkezés lép:</w:t>
      </w:r>
    </w:p>
    <w:p w:rsidR="00505B83" w:rsidRPr="00F96D49" w:rsidRDefault="00505B83" w:rsidP="006E7D54">
      <w:pPr>
        <w:tabs>
          <w:tab w:val="left" w:pos="993"/>
          <w:tab w:val="center" w:pos="1134"/>
        </w:tabs>
        <w:spacing w:before="60"/>
        <w:ind w:firstLine="284"/>
        <w:jc w:val="both"/>
        <w:rPr>
          <w:sz w:val="22"/>
          <w:szCs w:val="22"/>
        </w:rPr>
      </w:pPr>
      <w:r w:rsidRPr="00F96D49">
        <w:rPr>
          <w:sz w:val="22"/>
          <w:szCs w:val="22"/>
        </w:rPr>
        <w:t>„(37)</w:t>
      </w:r>
      <w:r w:rsidRPr="00F96D49">
        <w:rPr>
          <w:sz w:val="22"/>
          <w:szCs w:val="22"/>
        </w:rPr>
        <w:tab/>
        <w:t>Vezeték nélküli hírközlési építmény</w:t>
      </w:r>
    </w:p>
    <w:p w:rsidR="00505B83" w:rsidRPr="00F96D49" w:rsidRDefault="00505B83" w:rsidP="006E7D54">
      <w:pPr>
        <w:tabs>
          <w:tab w:val="left" w:pos="709"/>
          <w:tab w:val="left" w:pos="993"/>
        </w:tabs>
        <w:spacing w:before="120"/>
        <w:ind w:left="993" w:hanging="709"/>
        <w:jc w:val="both"/>
        <w:rPr>
          <w:sz w:val="22"/>
          <w:szCs w:val="22"/>
        </w:rPr>
      </w:pPr>
      <w:r w:rsidRPr="00F96D49">
        <w:rPr>
          <w:i/>
          <w:iCs/>
          <w:sz w:val="22"/>
          <w:szCs w:val="22"/>
        </w:rPr>
        <w:tab/>
        <w:t>a)</w:t>
      </w:r>
      <w:r w:rsidRPr="00F96D49">
        <w:rPr>
          <w:sz w:val="22"/>
          <w:szCs w:val="22"/>
        </w:rPr>
        <w:tab/>
        <w:t xml:space="preserve">külterületen vagy belterületi közterületen </w:t>
      </w:r>
      <w:r w:rsidRPr="00F96D49">
        <w:rPr>
          <w:b/>
          <w:bCs/>
          <w:sz w:val="22"/>
          <w:szCs w:val="22"/>
        </w:rPr>
        <w:t>önálló építményként</w:t>
      </w:r>
      <w:r w:rsidRPr="00F96D49">
        <w:rPr>
          <w:sz w:val="22"/>
          <w:szCs w:val="22"/>
        </w:rPr>
        <w:t xml:space="preserve"> akkor helyezhető el, ha a telepítéssel összefüggésben szabályozási terv készül,</w:t>
      </w:r>
    </w:p>
    <w:p w:rsidR="00505B83" w:rsidRPr="00F96D49" w:rsidRDefault="00505B83" w:rsidP="006E7D54">
      <w:pPr>
        <w:tabs>
          <w:tab w:val="left" w:pos="709"/>
          <w:tab w:val="left" w:pos="993"/>
        </w:tabs>
        <w:spacing w:before="120"/>
        <w:ind w:left="993" w:hanging="709"/>
        <w:jc w:val="both"/>
        <w:rPr>
          <w:sz w:val="22"/>
          <w:szCs w:val="22"/>
        </w:rPr>
      </w:pPr>
      <w:r w:rsidRPr="00F96D49">
        <w:rPr>
          <w:sz w:val="22"/>
          <w:szCs w:val="22"/>
        </w:rPr>
        <w:tab/>
      </w:r>
      <w:r w:rsidRPr="00F96D49">
        <w:rPr>
          <w:i/>
          <w:iCs/>
          <w:sz w:val="22"/>
          <w:szCs w:val="22"/>
        </w:rPr>
        <w:t>b)</w:t>
      </w:r>
      <w:r w:rsidRPr="00F96D49">
        <w:rPr>
          <w:i/>
          <w:iCs/>
          <w:sz w:val="22"/>
          <w:szCs w:val="22"/>
        </w:rPr>
        <w:tab/>
      </w:r>
      <w:r w:rsidRPr="00F96D49">
        <w:rPr>
          <w:sz w:val="22"/>
          <w:szCs w:val="22"/>
        </w:rPr>
        <w:t xml:space="preserve">kül- vagy belterületi közterületen </w:t>
      </w:r>
      <w:r w:rsidRPr="00F96D49">
        <w:rPr>
          <w:b/>
          <w:bCs/>
          <w:sz w:val="22"/>
          <w:szCs w:val="22"/>
        </w:rPr>
        <w:t>meglévő építményen</w:t>
      </w:r>
      <w:r w:rsidRPr="00F96D49">
        <w:rPr>
          <w:sz w:val="22"/>
          <w:szCs w:val="22"/>
        </w:rPr>
        <w:t xml:space="preserve"> úgy helyezhető el, hogy annak legfelső pontját legfeljebb </w:t>
      </w:r>
      <w:r w:rsidRPr="00F96D49">
        <w:rPr>
          <w:b/>
          <w:bCs/>
          <w:sz w:val="22"/>
          <w:szCs w:val="22"/>
        </w:rPr>
        <w:t xml:space="preserve">6,0 </w:t>
      </w:r>
      <w:r w:rsidRPr="00F96D49">
        <w:rPr>
          <w:sz w:val="22"/>
          <w:szCs w:val="22"/>
        </w:rPr>
        <w:t>méterrel haladhatja meg a hírközlési építmény</w:t>
      </w:r>
      <w:r w:rsidRPr="00F96D49">
        <w:rPr>
          <w:sz w:val="22"/>
          <w:szCs w:val="22"/>
          <w:shd w:val="clear" w:color="auto" w:fill="FFFFFF"/>
        </w:rPr>
        <w:t xml:space="preserve"> (beleértve az antennát és az antennatartó szerkezetet</w:t>
      </w:r>
      <w:r w:rsidRPr="00F96D49">
        <w:rPr>
          <w:sz w:val="22"/>
          <w:szCs w:val="22"/>
        </w:rPr>
        <w:t>) legmagasabb pontja,</w:t>
      </w:r>
    </w:p>
    <w:p w:rsidR="00505B83" w:rsidRPr="00F96D49" w:rsidRDefault="00505B83" w:rsidP="006E7D54">
      <w:pPr>
        <w:tabs>
          <w:tab w:val="left" w:pos="709"/>
          <w:tab w:val="left" w:pos="851"/>
        </w:tabs>
        <w:spacing w:before="120"/>
        <w:ind w:left="993" w:hanging="567"/>
        <w:jc w:val="both"/>
        <w:rPr>
          <w:sz w:val="22"/>
          <w:szCs w:val="22"/>
        </w:rPr>
      </w:pPr>
      <w:r w:rsidRPr="00F96D49">
        <w:rPr>
          <w:i/>
          <w:iCs/>
          <w:sz w:val="22"/>
          <w:szCs w:val="22"/>
        </w:rPr>
        <w:tab/>
        <w:t>c)</w:t>
      </w:r>
      <w:r w:rsidRPr="00F96D49">
        <w:rPr>
          <w:sz w:val="22"/>
          <w:szCs w:val="22"/>
        </w:rPr>
        <w:tab/>
        <w:t xml:space="preserve">belterületi nem közterületen </w:t>
      </w:r>
      <w:r w:rsidRPr="00F96D49">
        <w:rPr>
          <w:b/>
          <w:bCs/>
          <w:sz w:val="22"/>
          <w:szCs w:val="22"/>
        </w:rPr>
        <w:t>önálló építményként</w:t>
      </w:r>
      <w:r w:rsidRPr="00F96D49">
        <w:rPr>
          <w:sz w:val="22"/>
          <w:szCs w:val="22"/>
        </w:rPr>
        <w:t xml:space="preserve"> az adott telken, vagy annak közvetlen környezetében (szomszédos telken, vagy a közterületi telekhatárral szemközti telken) elhelyezkedő építmény legfelső pontját legfeljebb </w:t>
      </w:r>
      <w:r w:rsidRPr="00F96D49">
        <w:rPr>
          <w:b/>
          <w:bCs/>
          <w:sz w:val="22"/>
          <w:szCs w:val="22"/>
        </w:rPr>
        <w:t>12,0</w:t>
      </w:r>
      <w:r w:rsidRPr="00F96D49">
        <w:rPr>
          <w:sz w:val="22"/>
          <w:szCs w:val="22"/>
        </w:rPr>
        <w:t xml:space="preserve"> méterrel haladhatja meg a hírközlési építmény </w:t>
      </w:r>
      <w:r w:rsidRPr="00F96D49">
        <w:rPr>
          <w:sz w:val="22"/>
          <w:szCs w:val="22"/>
          <w:shd w:val="clear" w:color="auto" w:fill="FFFFFF"/>
        </w:rPr>
        <w:t>(beleértve az antennát és az antennatartó szerkezetet</w:t>
      </w:r>
      <w:r w:rsidRPr="00F96D49">
        <w:rPr>
          <w:sz w:val="22"/>
          <w:szCs w:val="22"/>
        </w:rPr>
        <w:t>) legmagasabb pontja, ha az elhelyezéssel érintett telek, illetve építmény közhasználatú,</w:t>
      </w:r>
    </w:p>
    <w:p w:rsidR="00505B83" w:rsidRPr="00F96D49" w:rsidRDefault="00505B83" w:rsidP="006E7D54">
      <w:pPr>
        <w:tabs>
          <w:tab w:val="left" w:pos="709"/>
          <w:tab w:val="left" w:pos="851"/>
        </w:tabs>
        <w:spacing w:before="120"/>
        <w:ind w:left="993" w:hanging="567"/>
        <w:jc w:val="both"/>
        <w:rPr>
          <w:sz w:val="22"/>
          <w:szCs w:val="22"/>
        </w:rPr>
      </w:pPr>
      <w:r w:rsidRPr="00F96D49">
        <w:rPr>
          <w:i/>
          <w:iCs/>
          <w:sz w:val="22"/>
          <w:szCs w:val="22"/>
        </w:rPr>
        <w:tab/>
        <w:t>d)</w:t>
      </w:r>
      <w:r w:rsidRPr="00F96D49">
        <w:rPr>
          <w:i/>
          <w:iCs/>
          <w:sz w:val="22"/>
          <w:szCs w:val="22"/>
        </w:rPr>
        <w:tab/>
      </w:r>
      <w:r w:rsidRPr="00F96D49">
        <w:rPr>
          <w:sz w:val="22"/>
          <w:szCs w:val="22"/>
        </w:rPr>
        <w:t xml:space="preserve">kül-, vagy belterületi nem közterületen </w:t>
      </w:r>
      <w:r w:rsidRPr="00F96D49">
        <w:rPr>
          <w:b/>
          <w:bCs/>
          <w:sz w:val="22"/>
          <w:szCs w:val="22"/>
        </w:rPr>
        <w:t>meglévő építményen</w:t>
      </w:r>
      <w:r w:rsidRPr="00F96D49">
        <w:rPr>
          <w:sz w:val="22"/>
          <w:szCs w:val="22"/>
        </w:rPr>
        <w:t xml:space="preserve"> úgy helyezhető el, hogy az építmény legfelső pontját legfeljebb </w:t>
      </w:r>
      <w:r w:rsidRPr="00F96D49">
        <w:rPr>
          <w:b/>
          <w:bCs/>
          <w:sz w:val="22"/>
          <w:szCs w:val="22"/>
        </w:rPr>
        <w:t>12,0</w:t>
      </w:r>
      <w:r w:rsidRPr="00F96D49">
        <w:rPr>
          <w:sz w:val="22"/>
          <w:szCs w:val="22"/>
        </w:rPr>
        <w:t xml:space="preserve"> méterrel haladhatja meg a hírközlési építmény </w:t>
      </w:r>
      <w:r w:rsidRPr="00F96D49">
        <w:rPr>
          <w:sz w:val="22"/>
          <w:szCs w:val="22"/>
          <w:shd w:val="clear" w:color="auto" w:fill="FFFFFF"/>
        </w:rPr>
        <w:t>(beleértve az antennát és az antennatartó szerkezetet</w:t>
      </w:r>
      <w:r w:rsidRPr="00F96D49">
        <w:rPr>
          <w:sz w:val="22"/>
          <w:szCs w:val="22"/>
        </w:rPr>
        <w:t>) legmagasabb pontja, ha az építmény közhasználatú</w:t>
      </w:r>
    </w:p>
    <w:p w:rsidR="00505B83" w:rsidRPr="00F96D49" w:rsidRDefault="00505B83" w:rsidP="006E7D54">
      <w:pPr>
        <w:tabs>
          <w:tab w:val="left" w:pos="709"/>
          <w:tab w:val="left" w:pos="851"/>
        </w:tabs>
        <w:spacing w:before="120"/>
        <w:ind w:left="993" w:hanging="709"/>
        <w:jc w:val="both"/>
        <w:rPr>
          <w:sz w:val="22"/>
          <w:szCs w:val="22"/>
        </w:rPr>
      </w:pPr>
      <w:r w:rsidRPr="00F96D49">
        <w:rPr>
          <w:i/>
          <w:iCs/>
          <w:sz w:val="22"/>
          <w:szCs w:val="22"/>
        </w:rPr>
        <w:tab/>
        <w:t>e)</w:t>
      </w:r>
      <w:r w:rsidRPr="00F96D49">
        <w:rPr>
          <w:sz w:val="22"/>
          <w:szCs w:val="22"/>
        </w:rPr>
        <w:tab/>
        <w:t>kiszolgáló földfelszíni berendezései közterületen, vagy közterületről látható helyen csak álcázással helyezhetők el.”</w:t>
      </w:r>
    </w:p>
    <w:p w:rsidR="00505B83" w:rsidRPr="00F96D49" w:rsidRDefault="00505B83" w:rsidP="006E7D54">
      <w:pPr>
        <w:tabs>
          <w:tab w:val="left" w:pos="426"/>
          <w:tab w:val="left" w:pos="709"/>
          <w:tab w:val="left" w:pos="993"/>
        </w:tabs>
        <w:spacing w:before="120"/>
        <w:rPr>
          <w:sz w:val="22"/>
          <w:szCs w:val="22"/>
        </w:rPr>
      </w:pPr>
      <w:r w:rsidRPr="00F96D49">
        <w:rPr>
          <w:sz w:val="22"/>
          <w:szCs w:val="22"/>
        </w:rPr>
        <w:t>(3)</w:t>
      </w:r>
      <w:r w:rsidRPr="00F96D49">
        <w:rPr>
          <w:sz w:val="22"/>
          <w:szCs w:val="22"/>
        </w:rPr>
        <w:tab/>
        <w:t xml:space="preserve">A </w:t>
      </w:r>
      <w:r w:rsidRPr="00F96D49">
        <w:rPr>
          <w:sz w:val="22"/>
          <w:szCs w:val="22"/>
          <w:lang w:eastAsia="en-US"/>
        </w:rPr>
        <w:t>HÉSZ</w:t>
      </w:r>
      <w:r w:rsidRPr="00F96D49">
        <w:rPr>
          <w:sz w:val="22"/>
          <w:szCs w:val="22"/>
        </w:rPr>
        <w:t xml:space="preserve"> 14. § (38) bekezdés helyébe a következő rendelkezés lép:</w:t>
      </w:r>
    </w:p>
    <w:p w:rsidR="00505B83" w:rsidRPr="00F96D49" w:rsidRDefault="00505B83" w:rsidP="006E7D54">
      <w:pPr>
        <w:tabs>
          <w:tab w:val="left" w:pos="709"/>
          <w:tab w:val="left" w:pos="993"/>
        </w:tabs>
        <w:spacing w:before="120"/>
        <w:ind w:left="425" w:hanging="284"/>
        <w:jc w:val="both"/>
        <w:rPr>
          <w:sz w:val="22"/>
          <w:szCs w:val="22"/>
        </w:rPr>
      </w:pPr>
      <w:r w:rsidRPr="00F96D49">
        <w:rPr>
          <w:sz w:val="22"/>
          <w:szCs w:val="22"/>
        </w:rPr>
        <w:tab/>
        <w:t>„(38)</w:t>
      </w:r>
      <w:r w:rsidRPr="00F96D49">
        <w:rPr>
          <w:sz w:val="22"/>
          <w:szCs w:val="22"/>
        </w:rPr>
        <w:tab/>
        <w:t>Vezeték nélküli hírközlési építmény meglévő építményen</w:t>
      </w:r>
    </w:p>
    <w:p w:rsidR="00505B83" w:rsidRPr="00F96D49" w:rsidRDefault="00505B83" w:rsidP="006E7D54">
      <w:pPr>
        <w:tabs>
          <w:tab w:val="left" w:pos="709"/>
          <w:tab w:val="left" w:pos="851"/>
        </w:tabs>
        <w:spacing w:before="120"/>
        <w:ind w:left="993" w:hanging="284"/>
        <w:jc w:val="both"/>
        <w:rPr>
          <w:i/>
          <w:iCs/>
          <w:sz w:val="22"/>
          <w:szCs w:val="22"/>
        </w:rPr>
      </w:pPr>
      <w:r w:rsidRPr="00F96D49">
        <w:rPr>
          <w:i/>
          <w:iCs/>
          <w:sz w:val="22"/>
          <w:szCs w:val="22"/>
        </w:rPr>
        <w:lastRenderedPageBreak/>
        <w:t>a)</w:t>
      </w:r>
      <w:r w:rsidRPr="00F96D49">
        <w:rPr>
          <w:sz w:val="22"/>
          <w:szCs w:val="22"/>
        </w:rPr>
        <w:tab/>
        <w:t>lakóterületen és üdülőterületen nem helyezhető el, kivéve az Lk-k és Ln-k kialakult telepszerű beépítésű építési övezetekben és a (37) bekezdés d) pontban megjelölt esetekben</w:t>
      </w:r>
      <w:r w:rsidRPr="00F96D49">
        <w:rPr>
          <w:i/>
          <w:iCs/>
          <w:sz w:val="22"/>
          <w:szCs w:val="22"/>
        </w:rPr>
        <w:t>,</w:t>
      </w:r>
    </w:p>
    <w:p w:rsidR="00505B83" w:rsidRPr="00F96D49" w:rsidRDefault="00505B83" w:rsidP="006E7D54">
      <w:pPr>
        <w:tabs>
          <w:tab w:val="left" w:pos="709"/>
          <w:tab w:val="left" w:pos="993"/>
        </w:tabs>
        <w:autoSpaceDE w:val="0"/>
        <w:autoSpaceDN w:val="0"/>
        <w:adjustRightInd w:val="0"/>
        <w:spacing w:before="120"/>
        <w:ind w:left="993" w:hanging="284"/>
        <w:jc w:val="both"/>
        <w:rPr>
          <w:sz w:val="22"/>
          <w:szCs w:val="22"/>
        </w:rPr>
      </w:pPr>
      <w:r w:rsidRPr="00F96D49">
        <w:rPr>
          <w:i/>
          <w:iCs/>
          <w:sz w:val="22"/>
          <w:szCs w:val="22"/>
        </w:rPr>
        <w:t>b)</w:t>
      </w:r>
      <w:r w:rsidRPr="00F96D49">
        <w:rPr>
          <w:sz w:val="22"/>
          <w:szCs w:val="22"/>
        </w:rPr>
        <w:tab/>
        <w:t xml:space="preserve">Lk-k; Ln-k; Gksz-.. és Gip-.. jelű építési övezetekben úgy alakítható ki, hogy a meglévő építmény legfelső pontját legfeljebb </w:t>
      </w:r>
      <w:r w:rsidRPr="00F96D49">
        <w:rPr>
          <w:b/>
          <w:bCs/>
          <w:sz w:val="22"/>
          <w:szCs w:val="22"/>
        </w:rPr>
        <w:t>6,0</w:t>
      </w:r>
      <w:r w:rsidRPr="00F96D49">
        <w:rPr>
          <w:sz w:val="22"/>
          <w:szCs w:val="22"/>
        </w:rPr>
        <w:t xml:space="preserve"> méterrel haladhatja meg a hírközlési létesítmény </w:t>
      </w:r>
      <w:r w:rsidRPr="00F96D49">
        <w:rPr>
          <w:sz w:val="22"/>
          <w:szCs w:val="22"/>
          <w:shd w:val="clear" w:color="auto" w:fill="FFFFFF"/>
        </w:rPr>
        <w:t>(beleértve az antennát és az antennatartó szerkezetet</w:t>
      </w:r>
      <w:r w:rsidRPr="00F96D49">
        <w:rPr>
          <w:sz w:val="22"/>
          <w:szCs w:val="22"/>
        </w:rPr>
        <w:t>) legmagasabb pontja,</w:t>
      </w:r>
    </w:p>
    <w:p w:rsidR="00505B83" w:rsidRPr="00F96D49" w:rsidRDefault="00505B83" w:rsidP="00F96D49">
      <w:pPr>
        <w:tabs>
          <w:tab w:val="left" w:pos="709"/>
          <w:tab w:val="left" w:pos="993"/>
        </w:tabs>
        <w:autoSpaceDE w:val="0"/>
        <w:autoSpaceDN w:val="0"/>
        <w:adjustRightInd w:val="0"/>
        <w:spacing w:before="120"/>
        <w:ind w:left="993" w:hanging="284"/>
        <w:jc w:val="both"/>
        <w:rPr>
          <w:sz w:val="22"/>
          <w:szCs w:val="22"/>
        </w:rPr>
      </w:pPr>
      <w:r w:rsidRPr="00F96D49">
        <w:rPr>
          <w:i/>
          <w:iCs/>
          <w:sz w:val="22"/>
          <w:szCs w:val="22"/>
        </w:rPr>
        <w:t>c)</w:t>
      </w:r>
      <w:r w:rsidRPr="00F96D49">
        <w:rPr>
          <w:i/>
          <w:iCs/>
          <w:sz w:val="22"/>
          <w:szCs w:val="22"/>
        </w:rPr>
        <w:tab/>
      </w:r>
      <w:r w:rsidRPr="00F96D49">
        <w:rPr>
          <w:sz w:val="22"/>
          <w:szCs w:val="22"/>
        </w:rPr>
        <w:t>egyéb területen akkor helyezhető el, ha a telepítéssel összefüggésben szabályozási terv készül.”</w:t>
      </w:r>
    </w:p>
    <w:p w:rsidR="00505B83" w:rsidRPr="00F96D49" w:rsidRDefault="00505B83" w:rsidP="006E7D54">
      <w:pPr>
        <w:tabs>
          <w:tab w:val="left" w:pos="709"/>
        </w:tabs>
        <w:autoSpaceDE w:val="0"/>
        <w:autoSpaceDN w:val="0"/>
        <w:adjustRightInd w:val="0"/>
        <w:spacing w:before="120"/>
        <w:ind w:left="426" w:hanging="426"/>
        <w:rPr>
          <w:sz w:val="22"/>
          <w:szCs w:val="22"/>
          <w:lang w:eastAsia="en-US"/>
        </w:rPr>
      </w:pPr>
      <w:r w:rsidRPr="00F96D49">
        <w:rPr>
          <w:sz w:val="22"/>
          <w:szCs w:val="22"/>
          <w:lang w:eastAsia="en-US"/>
        </w:rPr>
        <w:t>(4)</w:t>
      </w:r>
      <w:r w:rsidRPr="00F96D49">
        <w:rPr>
          <w:sz w:val="22"/>
          <w:szCs w:val="22"/>
          <w:lang w:eastAsia="en-US"/>
        </w:rPr>
        <w:tab/>
        <w:t>A HÉSZ</w:t>
      </w:r>
      <w:r w:rsidRPr="00F96D49">
        <w:rPr>
          <w:sz w:val="22"/>
          <w:szCs w:val="22"/>
        </w:rPr>
        <w:t xml:space="preserve"> 14. § (40) bekezdés helyébe a következő rendelkezés lép:</w:t>
      </w:r>
    </w:p>
    <w:p w:rsidR="00505B83" w:rsidRPr="00F96D49" w:rsidRDefault="00505B83" w:rsidP="006E7D54">
      <w:pPr>
        <w:tabs>
          <w:tab w:val="left" w:pos="1134"/>
        </w:tabs>
        <w:autoSpaceDE w:val="0"/>
        <w:autoSpaceDN w:val="0"/>
        <w:adjustRightInd w:val="0"/>
        <w:spacing w:before="120"/>
        <w:ind w:left="993" w:hanging="567"/>
        <w:jc w:val="both"/>
        <w:rPr>
          <w:sz w:val="22"/>
          <w:szCs w:val="22"/>
        </w:rPr>
      </w:pPr>
      <w:r w:rsidRPr="00F96D49">
        <w:rPr>
          <w:sz w:val="22"/>
          <w:szCs w:val="22"/>
        </w:rPr>
        <w:t>„(40)</w:t>
      </w:r>
      <w:r w:rsidRPr="00F96D49">
        <w:rPr>
          <w:sz w:val="22"/>
          <w:szCs w:val="22"/>
        </w:rPr>
        <w:tab/>
        <w:t>Vezeték nélküli hírközlési építmény és tartószerkezete közterületről láthatóan csak álcázott építményként helyezhető el műemléki jelentőségű, vagy helyi építészeti értékvédelmi területen, műemléken, valamint a városszerkezeti és városképi szempontból kiemelt területen.”</w:t>
      </w:r>
    </w:p>
    <w:p w:rsidR="00505B83" w:rsidRPr="00F96D49" w:rsidRDefault="00505B83" w:rsidP="00C7387B">
      <w:pPr>
        <w:tabs>
          <w:tab w:val="left" w:pos="426"/>
        </w:tabs>
        <w:autoSpaceDE w:val="0"/>
        <w:autoSpaceDN w:val="0"/>
        <w:adjustRightInd w:val="0"/>
        <w:spacing w:before="120"/>
        <w:ind w:left="426" w:hanging="426"/>
        <w:jc w:val="both"/>
        <w:rPr>
          <w:sz w:val="22"/>
          <w:szCs w:val="22"/>
          <w:lang w:eastAsia="en-US"/>
        </w:rPr>
      </w:pPr>
      <w:r w:rsidRPr="00F96D49">
        <w:rPr>
          <w:sz w:val="22"/>
          <w:szCs w:val="22"/>
          <w:lang w:eastAsia="en-US"/>
        </w:rPr>
        <w:t>(5)</w:t>
      </w:r>
      <w:r w:rsidRPr="00F96D49">
        <w:rPr>
          <w:sz w:val="22"/>
          <w:szCs w:val="22"/>
          <w:lang w:eastAsia="en-US"/>
        </w:rPr>
        <w:tab/>
        <w:t>A HÉSZ</w:t>
      </w:r>
      <w:r w:rsidRPr="00F96D49">
        <w:rPr>
          <w:sz w:val="22"/>
          <w:szCs w:val="22"/>
        </w:rPr>
        <w:t xml:space="preserve"> 14. § (41) bekezdésben a „csökkenthető.” szövegrész helyébe „csökkenthető a vezeték védősávja, vagy módosítható a nyomvonala.” szövegrész lép.</w:t>
      </w:r>
    </w:p>
    <w:p w:rsidR="00505B83" w:rsidRPr="00F96D49" w:rsidRDefault="00505B83" w:rsidP="004D5960">
      <w:pPr>
        <w:tabs>
          <w:tab w:val="left" w:pos="709"/>
        </w:tabs>
        <w:autoSpaceDE w:val="0"/>
        <w:autoSpaceDN w:val="0"/>
        <w:adjustRightInd w:val="0"/>
        <w:spacing w:before="120"/>
        <w:jc w:val="both"/>
        <w:rPr>
          <w:sz w:val="22"/>
          <w:szCs w:val="22"/>
          <w:lang w:eastAsia="en-US"/>
        </w:rPr>
      </w:pPr>
      <w:r w:rsidRPr="00F96D49">
        <w:rPr>
          <w:sz w:val="22"/>
          <w:szCs w:val="22"/>
          <w:lang w:eastAsia="en-US"/>
        </w:rPr>
        <w:t>3. § A HÉSZ 1. melléklete a következő bekezdésekkel egészül ki:</w:t>
      </w:r>
    </w:p>
    <w:p w:rsidR="00505B83" w:rsidRPr="00F96D49" w:rsidRDefault="00505B83" w:rsidP="00896387">
      <w:pPr>
        <w:spacing w:before="120"/>
        <w:ind w:left="709" w:hanging="709"/>
        <w:jc w:val="both"/>
        <w:rPr>
          <w:sz w:val="22"/>
          <w:szCs w:val="22"/>
        </w:rPr>
      </w:pPr>
      <w:r w:rsidRPr="00F96D49">
        <w:rPr>
          <w:sz w:val="22"/>
          <w:szCs w:val="22"/>
          <w:lang w:eastAsia="en-US"/>
        </w:rPr>
        <w:t>„(57)</w:t>
      </w:r>
      <w:r w:rsidRPr="00F96D49">
        <w:rPr>
          <w:sz w:val="22"/>
          <w:szCs w:val="22"/>
          <w:lang w:eastAsia="en-US"/>
        </w:rPr>
        <w:tab/>
      </w:r>
      <w:r w:rsidRPr="00F96D49">
        <w:rPr>
          <w:b/>
          <w:bCs/>
          <w:sz w:val="22"/>
          <w:szCs w:val="22"/>
        </w:rPr>
        <w:t>álcázott építmény:</w:t>
      </w:r>
      <w:r w:rsidRPr="00F96D49">
        <w:rPr>
          <w:sz w:val="22"/>
          <w:szCs w:val="22"/>
        </w:rPr>
        <w:t xml:space="preserve"> műemléki jelentőségű, vagy helyi építészeti értékvédelmi területen, műemléken, valamint a városszerkezeti és városképi szempontból kiemelt területen elhelyezhető hírközlési építmények közterületről történő láthatóság elleni takarása, elfedése, melynek mértékét, jellegét a műemléki hatósági jogkört gyakorlók, illetve a városi főépítész szakmai vezetésével lefolytatott </w:t>
      </w:r>
      <w:r w:rsidRPr="00F96D49">
        <w:rPr>
          <w:strike/>
          <w:sz w:val="22"/>
          <w:szCs w:val="22"/>
        </w:rPr>
        <w:t xml:space="preserve"> </w:t>
      </w:r>
      <w:r w:rsidRPr="00F96D49">
        <w:rPr>
          <w:sz w:val="22"/>
          <w:szCs w:val="22"/>
        </w:rPr>
        <w:t>véleményezésben részt vevők határozzák meg.</w:t>
      </w:r>
    </w:p>
    <w:p w:rsidR="00505B83" w:rsidRPr="00F96D49" w:rsidRDefault="00505B83" w:rsidP="00896387">
      <w:pPr>
        <w:tabs>
          <w:tab w:val="left" w:pos="709"/>
        </w:tabs>
        <w:autoSpaceDE w:val="0"/>
        <w:autoSpaceDN w:val="0"/>
        <w:adjustRightInd w:val="0"/>
        <w:spacing w:before="120"/>
        <w:ind w:left="709" w:hanging="709"/>
        <w:jc w:val="both"/>
        <w:rPr>
          <w:sz w:val="22"/>
          <w:szCs w:val="22"/>
          <w:lang w:eastAsia="en-US"/>
        </w:rPr>
      </w:pPr>
      <w:r w:rsidRPr="00F96D49">
        <w:rPr>
          <w:sz w:val="22"/>
          <w:szCs w:val="22"/>
          <w:lang w:eastAsia="en-US"/>
        </w:rPr>
        <w:t>(58)</w:t>
      </w:r>
      <w:r w:rsidRPr="00F96D49">
        <w:rPr>
          <w:sz w:val="22"/>
          <w:szCs w:val="22"/>
          <w:lang w:eastAsia="en-US"/>
        </w:rPr>
        <w:tab/>
      </w:r>
      <w:r w:rsidRPr="00F96D49">
        <w:rPr>
          <w:b/>
          <w:bCs/>
          <w:sz w:val="22"/>
          <w:szCs w:val="22"/>
        </w:rPr>
        <w:t>építmény legfelső pontja, és a hozzá viszonyított magasság:</w:t>
      </w:r>
      <w:r w:rsidRPr="00F96D49">
        <w:rPr>
          <w:sz w:val="22"/>
          <w:szCs w:val="22"/>
        </w:rPr>
        <w:t xml:space="preserve"> a hírközlési építmény lehetséges magasságának meghatározása során az elhelyezésre kijelölt telken, vagy annak közvetlen környezetében elhelyezkedő épület, építmény a hozzájuk tartozó szerkezet (kivéve antenna) legmagasabb pontja, melyre állított vízszintes síkhoz kell viszonyítani a megadott magasságot.</w:t>
      </w:r>
    </w:p>
    <w:p w:rsidR="00505B83" w:rsidRPr="00F96D49" w:rsidRDefault="00505B83" w:rsidP="00F96D49">
      <w:pPr>
        <w:spacing w:before="120"/>
        <w:ind w:left="709" w:hanging="709"/>
        <w:jc w:val="both"/>
        <w:rPr>
          <w:sz w:val="22"/>
          <w:szCs w:val="22"/>
        </w:rPr>
      </w:pPr>
      <w:r w:rsidRPr="00F96D49">
        <w:rPr>
          <w:sz w:val="22"/>
          <w:szCs w:val="22"/>
        </w:rPr>
        <w:t>(59)</w:t>
      </w:r>
      <w:r w:rsidRPr="00F96D49">
        <w:rPr>
          <w:b/>
          <w:bCs/>
          <w:sz w:val="22"/>
          <w:szCs w:val="22"/>
        </w:rPr>
        <w:tab/>
        <w:t xml:space="preserve">közvetlen környezet a hírközlési építmény magasságának meghatározása során: </w:t>
      </w:r>
      <w:r w:rsidRPr="00F96D49">
        <w:rPr>
          <w:sz w:val="22"/>
          <w:szCs w:val="22"/>
        </w:rPr>
        <w:t>figyelembe veendő a telepítéssel érintett telek, s a vele határos telkek. Ha közterülettel határos az érintett telek, akkor a közterülettel szomszédos, a kijelölt telekkel szemközti telek képezi a közvetlen környezetbe tartozó telket.”</w:t>
      </w:r>
    </w:p>
    <w:p w:rsidR="00505B83" w:rsidRPr="00F96D49" w:rsidRDefault="00505B83" w:rsidP="006E7D54">
      <w:pPr>
        <w:tabs>
          <w:tab w:val="left" w:pos="709"/>
        </w:tabs>
        <w:autoSpaceDE w:val="0"/>
        <w:autoSpaceDN w:val="0"/>
        <w:adjustRightInd w:val="0"/>
        <w:spacing w:before="120"/>
        <w:jc w:val="center"/>
        <w:rPr>
          <w:b/>
          <w:bCs/>
          <w:sz w:val="22"/>
          <w:szCs w:val="22"/>
          <w:lang w:eastAsia="en-US"/>
        </w:rPr>
      </w:pPr>
      <w:r w:rsidRPr="00F96D49">
        <w:rPr>
          <w:b/>
          <w:bCs/>
          <w:sz w:val="22"/>
          <w:szCs w:val="22"/>
          <w:lang w:eastAsia="en-US"/>
        </w:rPr>
        <w:t>Záró rendelkezés</w:t>
      </w:r>
    </w:p>
    <w:p w:rsidR="00505B83" w:rsidRPr="00F96D49" w:rsidRDefault="00505B83" w:rsidP="006E7D54">
      <w:pPr>
        <w:tabs>
          <w:tab w:val="left" w:pos="709"/>
        </w:tabs>
        <w:autoSpaceDE w:val="0"/>
        <w:autoSpaceDN w:val="0"/>
        <w:adjustRightInd w:val="0"/>
        <w:spacing w:before="120"/>
        <w:rPr>
          <w:sz w:val="22"/>
          <w:szCs w:val="22"/>
          <w:lang w:eastAsia="en-US"/>
        </w:rPr>
      </w:pPr>
    </w:p>
    <w:p w:rsidR="00505B83" w:rsidRPr="00F96D49" w:rsidRDefault="00505B83" w:rsidP="006E7D54">
      <w:pPr>
        <w:tabs>
          <w:tab w:val="left" w:pos="709"/>
        </w:tabs>
        <w:autoSpaceDE w:val="0"/>
        <w:autoSpaceDN w:val="0"/>
        <w:adjustRightInd w:val="0"/>
        <w:spacing w:before="120"/>
        <w:ind w:left="851" w:hanging="709"/>
        <w:jc w:val="both"/>
        <w:rPr>
          <w:sz w:val="22"/>
          <w:szCs w:val="22"/>
          <w:lang w:eastAsia="en-US"/>
        </w:rPr>
      </w:pPr>
      <w:r w:rsidRPr="00F96D49">
        <w:rPr>
          <w:sz w:val="22"/>
          <w:szCs w:val="22"/>
          <w:lang w:eastAsia="en-US"/>
        </w:rPr>
        <w:t xml:space="preserve">4. § (1) A rendelet a 314/2012. (XI. 8.) Kormányrendelet 43. § (1) bekezdésének b) pontjában meghatározott napon, de leghamarabb az elfogadástól számított 15. napon lép hatályba. </w:t>
      </w:r>
    </w:p>
    <w:p w:rsidR="00505B83" w:rsidRPr="00F96D49" w:rsidRDefault="00505B83" w:rsidP="006E7D54">
      <w:pPr>
        <w:tabs>
          <w:tab w:val="left" w:pos="709"/>
        </w:tabs>
        <w:autoSpaceDE w:val="0"/>
        <w:autoSpaceDN w:val="0"/>
        <w:adjustRightInd w:val="0"/>
        <w:spacing w:before="120"/>
        <w:ind w:left="992" w:hanging="425"/>
        <w:jc w:val="both"/>
        <w:rPr>
          <w:sz w:val="22"/>
          <w:szCs w:val="22"/>
          <w:lang w:eastAsia="en-US"/>
        </w:rPr>
      </w:pPr>
      <w:r w:rsidRPr="00F96D49">
        <w:rPr>
          <w:sz w:val="22"/>
          <w:szCs w:val="22"/>
          <w:lang w:eastAsia="en-US"/>
        </w:rPr>
        <w:t>(2)</w:t>
      </w:r>
      <w:r w:rsidRPr="00F96D49">
        <w:rPr>
          <w:sz w:val="22"/>
          <w:szCs w:val="22"/>
          <w:lang w:eastAsia="en-US"/>
        </w:rPr>
        <w:tab/>
        <w:t>Jelen rendelet hatálybalépését követő napon hatályát veszti.</w:t>
      </w:r>
    </w:p>
    <w:p w:rsidR="00505B83" w:rsidRPr="00F96D49" w:rsidRDefault="00505B83" w:rsidP="006E7D54">
      <w:pPr>
        <w:tabs>
          <w:tab w:val="left" w:pos="709"/>
        </w:tabs>
        <w:autoSpaceDE w:val="0"/>
        <w:autoSpaceDN w:val="0"/>
        <w:adjustRightInd w:val="0"/>
        <w:spacing w:before="120"/>
        <w:ind w:left="993" w:hanging="426"/>
        <w:jc w:val="both"/>
        <w:rPr>
          <w:sz w:val="22"/>
          <w:szCs w:val="22"/>
          <w:lang w:eastAsia="en-US"/>
        </w:rPr>
      </w:pPr>
      <w:r w:rsidRPr="00F96D49">
        <w:rPr>
          <w:sz w:val="22"/>
          <w:szCs w:val="22"/>
          <w:lang w:eastAsia="en-US"/>
        </w:rPr>
        <w:t>(3)</w:t>
      </w:r>
      <w:r w:rsidRPr="00F96D49">
        <w:rPr>
          <w:sz w:val="22"/>
          <w:szCs w:val="22"/>
          <w:lang w:eastAsia="en-US"/>
        </w:rPr>
        <w:tab/>
        <w:t>A rendelet előírásait a hatálybalépést követően indított ügyekben kell alkalmazni.</w:t>
      </w:r>
    </w:p>
    <w:p w:rsidR="00505B83" w:rsidRPr="00F96D49" w:rsidRDefault="00505B83" w:rsidP="006E7D54">
      <w:pPr>
        <w:spacing w:before="120"/>
        <w:rPr>
          <w:sz w:val="22"/>
          <w:szCs w:val="22"/>
          <w:lang w:eastAsia="en-US"/>
        </w:rPr>
      </w:pPr>
    </w:p>
    <w:p w:rsidR="00505B83" w:rsidRPr="00F96D49" w:rsidRDefault="00505B83" w:rsidP="006E7D54">
      <w:pPr>
        <w:rPr>
          <w:sz w:val="22"/>
          <w:szCs w:val="22"/>
          <w:lang w:eastAsia="en-US"/>
        </w:rPr>
      </w:pPr>
      <w:r w:rsidRPr="00F96D49">
        <w:rPr>
          <w:sz w:val="22"/>
          <w:szCs w:val="22"/>
          <w:lang w:eastAsia="en-US"/>
        </w:rPr>
        <w:t>Szentendre, 2015.</w:t>
      </w:r>
      <w:r w:rsidR="00FB481C" w:rsidRPr="00F96D49">
        <w:rPr>
          <w:sz w:val="22"/>
          <w:szCs w:val="22"/>
          <w:lang w:eastAsia="en-US"/>
        </w:rPr>
        <w:t xml:space="preserve"> november 12.</w:t>
      </w:r>
    </w:p>
    <w:p w:rsidR="00505B83" w:rsidRPr="00F96D49" w:rsidRDefault="00505B83" w:rsidP="006E7D54">
      <w:pPr>
        <w:rPr>
          <w:sz w:val="22"/>
          <w:szCs w:val="22"/>
          <w:lang w:eastAsia="en-US"/>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505B83" w:rsidRPr="00F96D49" w:rsidTr="00C4391B">
        <w:trPr>
          <w:jc w:val="center"/>
        </w:trPr>
        <w:tc>
          <w:tcPr>
            <w:tcW w:w="4605" w:type="dxa"/>
          </w:tcPr>
          <w:p w:rsidR="00505B83" w:rsidRPr="00F96D49" w:rsidRDefault="00505B83" w:rsidP="00C4391B">
            <w:pPr>
              <w:tabs>
                <w:tab w:val="left" w:pos="709"/>
                <w:tab w:val="left" w:pos="993"/>
              </w:tabs>
              <w:spacing w:before="120"/>
              <w:jc w:val="center"/>
              <w:rPr>
                <w:rFonts w:cs="Times New Roman"/>
                <w:sz w:val="22"/>
                <w:szCs w:val="22"/>
              </w:rPr>
            </w:pPr>
            <w:r w:rsidRPr="00F96D49">
              <w:rPr>
                <w:rFonts w:cs="Times New Roman"/>
                <w:b/>
                <w:bCs/>
                <w:sz w:val="22"/>
                <w:szCs w:val="22"/>
              </w:rPr>
              <w:t>Verseghi-Nagy Miklós</w:t>
            </w:r>
          </w:p>
        </w:tc>
        <w:tc>
          <w:tcPr>
            <w:tcW w:w="4605" w:type="dxa"/>
          </w:tcPr>
          <w:p w:rsidR="00505B83" w:rsidRPr="00F96D49" w:rsidRDefault="00505B83" w:rsidP="00C4391B">
            <w:pPr>
              <w:tabs>
                <w:tab w:val="left" w:pos="709"/>
                <w:tab w:val="left" w:pos="993"/>
              </w:tabs>
              <w:spacing w:before="120"/>
              <w:jc w:val="center"/>
              <w:rPr>
                <w:rFonts w:cs="Times New Roman"/>
                <w:sz w:val="22"/>
                <w:szCs w:val="22"/>
              </w:rPr>
            </w:pPr>
            <w:r w:rsidRPr="00F96D49">
              <w:rPr>
                <w:rFonts w:cs="Times New Roman"/>
                <w:b/>
                <w:bCs/>
                <w:sz w:val="22"/>
                <w:szCs w:val="22"/>
              </w:rPr>
              <w:t>dr. Gerendás Gábor</w:t>
            </w:r>
          </w:p>
        </w:tc>
      </w:tr>
      <w:tr w:rsidR="00505B83" w:rsidRPr="00F96D49" w:rsidTr="00C4391B">
        <w:trPr>
          <w:jc w:val="center"/>
        </w:trPr>
        <w:tc>
          <w:tcPr>
            <w:tcW w:w="4605" w:type="dxa"/>
          </w:tcPr>
          <w:p w:rsidR="00505B83" w:rsidRPr="00F96D49" w:rsidRDefault="00505B83" w:rsidP="00C4391B">
            <w:pPr>
              <w:tabs>
                <w:tab w:val="left" w:pos="709"/>
                <w:tab w:val="left" w:pos="993"/>
              </w:tabs>
              <w:spacing w:before="120"/>
              <w:jc w:val="center"/>
              <w:rPr>
                <w:rFonts w:cs="Times New Roman"/>
                <w:sz w:val="22"/>
                <w:szCs w:val="22"/>
              </w:rPr>
            </w:pPr>
            <w:r w:rsidRPr="00F96D49">
              <w:rPr>
                <w:rFonts w:cs="Times New Roman"/>
                <w:sz w:val="22"/>
                <w:szCs w:val="22"/>
              </w:rPr>
              <w:t>polgármester</w:t>
            </w:r>
          </w:p>
        </w:tc>
        <w:tc>
          <w:tcPr>
            <w:tcW w:w="4605" w:type="dxa"/>
          </w:tcPr>
          <w:p w:rsidR="00505B83" w:rsidRPr="00F96D49" w:rsidRDefault="00505B83" w:rsidP="00C4391B">
            <w:pPr>
              <w:tabs>
                <w:tab w:val="left" w:pos="709"/>
                <w:tab w:val="left" w:pos="993"/>
              </w:tabs>
              <w:spacing w:before="120"/>
              <w:jc w:val="center"/>
              <w:rPr>
                <w:rFonts w:cs="Times New Roman"/>
                <w:sz w:val="22"/>
                <w:szCs w:val="22"/>
              </w:rPr>
            </w:pPr>
            <w:r w:rsidRPr="00F96D49">
              <w:rPr>
                <w:rFonts w:cs="Times New Roman"/>
                <w:sz w:val="22"/>
                <w:szCs w:val="22"/>
              </w:rPr>
              <w:t>jegyző</w:t>
            </w:r>
          </w:p>
        </w:tc>
      </w:tr>
    </w:tbl>
    <w:p w:rsidR="00505B83" w:rsidRPr="00F96D49" w:rsidRDefault="00505B83" w:rsidP="006E7D54">
      <w:pPr>
        <w:spacing w:before="60"/>
        <w:jc w:val="both"/>
        <w:rPr>
          <w:b/>
          <w:bCs/>
          <w:sz w:val="22"/>
          <w:szCs w:val="22"/>
        </w:rPr>
      </w:pPr>
    </w:p>
    <w:p w:rsidR="00505B83" w:rsidRPr="00F96D49" w:rsidRDefault="00505B83" w:rsidP="006E7D54">
      <w:pPr>
        <w:spacing w:before="60"/>
        <w:jc w:val="both"/>
        <w:rPr>
          <w:b/>
          <w:bCs/>
          <w:sz w:val="22"/>
          <w:szCs w:val="22"/>
        </w:rPr>
      </w:pPr>
      <w:r w:rsidRPr="00F96D49">
        <w:rPr>
          <w:b/>
          <w:bCs/>
          <w:sz w:val="22"/>
          <w:szCs w:val="22"/>
        </w:rPr>
        <w:t>Záradék:</w:t>
      </w:r>
    </w:p>
    <w:p w:rsidR="00505B83" w:rsidRPr="00F96D49" w:rsidRDefault="00505B83" w:rsidP="006E7D54">
      <w:pPr>
        <w:spacing w:before="60"/>
        <w:jc w:val="both"/>
        <w:rPr>
          <w:sz w:val="22"/>
          <w:szCs w:val="22"/>
        </w:rPr>
      </w:pPr>
      <w:r w:rsidRPr="00F96D49">
        <w:rPr>
          <w:sz w:val="22"/>
          <w:szCs w:val="22"/>
        </w:rPr>
        <w:t xml:space="preserve">A rendelet 2015. </w:t>
      </w:r>
      <w:r w:rsidR="00F96D49" w:rsidRPr="00F96D49">
        <w:rPr>
          <w:sz w:val="22"/>
          <w:szCs w:val="22"/>
        </w:rPr>
        <w:t>november 17</w:t>
      </w:r>
      <w:r w:rsidRPr="00F96D49">
        <w:rPr>
          <w:sz w:val="22"/>
          <w:szCs w:val="22"/>
        </w:rPr>
        <w:t>–én kihirdetésre került.</w:t>
      </w:r>
    </w:p>
    <w:p w:rsidR="00505B83" w:rsidRPr="00F96D49" w:rsidRDefault="00505B83" w:rsidP="00C4391B">
      <w:pPr>
        <w:tabs>
          <w:tab w:val="center" w:pos="2280"/>
          <w:tab w:val="center" w:pos="7320"/>
        </w:tabs>
        <w:spacing w:before="60"/>
        <w:ind w:left="5040"/>
        <w:jc w:val="center"/>
        <w:rPr>
          <w:b/>
          <w:bCs/>
          <w:sz w:val="22"/>
          <w:szCs w:val="22"/>
        </w:rPr>
      </w:pPr>
      <w:r w:rsidRPr="00F96D49">
        <w:rPr>
          <w:b/>
          <w:bCs/>
          <w:sz w:val="22"/>
          <w:szCs w:val="22"/>
        </w:rPr>
        <w:t>dr. Gerendás Gábor</w:t>
      </w:r>
    </w:p>
    <w:p w:rsidR="00505B83" w:rsidRPr="00F96D49" w:rsidRDefault="00505B83" w:rsidP="00C4391B">
      <w:pPr>
        <w:spacing w:before="120"/>
        <w:ind w:left="5040"/>
        <w:jc w:val="center"/>
        <w:rPr>
          <w:sz w:val="22"/>
          <w:szCs w:val="22"/>
        </w:rPr>
      </w:pPr>
      <w:r w:rsidRPr="00F96D49">
        <w:rPr>
          <w:sz w:val="22"/>
          <w:szCs w:val="22"/>
        </w:rPr>
        <w:t>jegyző</w:t>
      </w:r>
    </w:p>
    <w:sectPr w:rsidR="00505B83" w:rsidRPr="00F96D49" w:rsidSect="00495D58">
      <w:footerReference w:type="default" r:id="rId7"/>
      <w:headerReference w:type="firs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49" w:rsidRDefault="00F96D49" w:rsidP="00AB30B0">
      <w:r>
        <w:separator/>
      </w:r>
    </w:p>
  </w:endnote>
  <w:endnote w:type="continuationSeparator" w:id="0">
    <w:p w:rsidR="00F96D49" w:rsidRDefault="00F96D49" w:rsidP="00AB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49" w:rsidRDefault="00F96D49">
    <w:pPr>
      <w:pStyle w:val="llb"/>
      <w:jc w:val="right"/>
    </w:pPr>
    <w:r>
      <w:fldChar w:fldCharType="begin"/>
    </w:r>
    <w:r>
      <w:instrText xml:space="preserve"> PAGE   \* MERGEFORMAT </w:instrText>
    </w:r>
    <w:r>
      <w:fldChar w:fldCharType="separate"/>
    </w:r>
    <w:r w:rsidR="0034696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49" w:rsidRDefault="00F96D49" w:rsidP="00AB30B0">
      <w:r>
        <w:separator/>
      </w:r>
    </w:p>
  </w:footnote>
  <w:footnote w:type="continuationSeparator" w:id="0">
    <w:p w:rsidR="00F96D49" w:rsidRDefault="00F96D49" w:rsidP="00AB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49" w:rsidRPr="008E057F" w:rsidRDefault="00F96D49" w:rsidP="00707544">
    <w:pPr>
      <w:pStyle w:val="lfej"/>
      <w:jc w:val="center"/>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4"/>
    <w:rsid w:val="00092089"/>
    <w:rsid w:val="00106BC7"/>
    <w:rsid w:val="0013179A"/>
    <w:rsid w:val="002258C2"/>
    <w:rsid w:val="00251BED"/>
    <w:rsid w:val="0025491F"/>
    <w:rsid w:val="00266199"/>
    <w:rsid w:val="002B635F"/>
    <w:rsid w:val="002F59D0"/>
    <w:rsid w:val="003118B8"/>
    <w:rsid w:val="00345E72"/>
    <w:rsid w:val="00346967"/>
    <w:rsid w:val="003D341D"/>
    <w:rsid w:val="003F24DA"/>
    <w:rsid w:val="00495D58"/>
    <w:rsid w:val="004A0E0C"/>
    <w:rsid w:val="004D5960"/>
    <w:rsid w:val="00505B83"/>
    <w:rsid w:val="00560599"/>
    <w:rsid w:val="005B64A9"/>
    <w:rsid w:val="0062530B"/>
    <w:rsid w:val="006B6695"/>
    <w:rsid w:val="006D31E9"/>
    <w:rsid w:val="006E7D54"/>
    <w:rsid w:val="00707544"/>
    <w:rsid w:val="0072404B"/>
    <w:rsid w:val="00735D13"/>
    <w:rsid w:val="0078502C"/>
    <w:rsid w:val="00896387"/>
    <w:rsid w:val="008A3EE8"/>
    <w:rsid w:val="008E057F"/>
    <w:rsid w:val="00922157"/>
    <w:rsid w:val="00985F2C"/>
    <w:rsid w:val="009C4894"/>
    <w:rsid w:val="00A24CDB"/>
    <w:rsid w:val="00A45F94"/>
    <w:rsid w:val="00A93619"/>
    <w:rsid w:val="00AB25B9"/>
    <w:rsid w:val="00AB30B0"/>
    <w:rsid w:val="00AC0CE5"/>
    <w:rsid w:val="00AF0D01"/>
    <w:rsid w:val="00AF1919"/>
    <w:rsid w:val="00B26FC4"/>
    <w:rsid w:val="00C1769A"/>
    <w:rsid w:val="00C31986"/>
    <w:rsid w:val="00C4391B"/>
    <w:rsid w:val="00C7387B"/>
    <w:rsid w:val="00CB6F27"/>
    <w:rsid w:val="00E272C8"/>
    <w:rsid w:val="00E77D19"/>
    <w:rsid w:val="00EE0C68"/>
    <w:rsid w:val="00F26720"/>
    <w:rsid w:val="00F67C26"/>
    <w:rsid w:val="00F83BEA"/>
    <w:rsid w:val="00F866EB"/>
    <w:rsid w:val="00F96D49"/>
    <w:rsid w:val="00FB481C"/>
    <w:rsid w:val="00FF6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7D5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E7D54"/>
    <w:pPr>
      <w:tabs>
        <w:tab w:val="center" w:pos="4536"/>
        <w:tab w:val="right" w:pos="9072"/>
      </w:tabs>
    </w:pPr>
  </w:style>
  <w:style w:type="character" w:customStyle="1" w:styleId="llbChar">
    <w:name w:val="Élőláb Char"/>
    <w:basedOn w:val="Bekezdsalapbettpusa"/>
    <w:link w:val="llb"/>
    <w:uiPriority w:val="99"/>
    <w:locked/>
    <w:rsid w:val="006E7D54"/>
    <w:rPr>
      <w:rFonts w:ascii="Times New Roman" w:hAnsi="Times New Roman" w:cs="Times New Roman"/>
      <w:sz w:val="24"/>
      <w:szCs w:val="24"/>
      <w:lang w:eastAsia="hu-HU"/>
    </w:rPr>
  </w:style>
  <w:style w:type="character" w:styleId="Oldalszm">
    <w:name w:val="page number"/>
    <w:basedOn w:val="Bekezdsalapbettpusa"/>
    <w:uiPriority w:val="99"/>
    <w:rsid w:val="006E7D54"/>
  </w:style>
  <w:style w:type="paragraph" w:styleId="Listaszerbekezds">
    <w:name w:val="List Paragraph"/>
    <w:basedOn w:val="Norml"/>
    <w:uiPriority w:val="99"/>
    <w:qFormat/>
    <w:rsid w:val="006E7D54"/>
    <w:pPr>
      <w:ind w:left="720"/>
    </w:pPr>
  </w:style>
  <w:style w:type="paragraph" w:styleId="lfej">
    <w:name w:val="header"/>
    <w:basedOn w:val="Norml"/>
    <w:link w:val="lfejChar"/>
    <w:uiPriority w:val="99"/>
    <w:rsid w:val="006E7D54"/>
    <w:pPr>
      <w:tabs>
        <w:tab w:val="center" w:pos="4536"/>
        <w:tab w:val="right" w:pos="9072"/>
      </w:tabs>
    </w:pPr>
  </w:style>
  <w:style w:type="character" w:customStyle="1" w:styleId="lfejChar">
    <w:name w:val="Élőfej Char"/>
    <w:basedOn w:val="Bekezdsalapbettpusa"/>
    <w:link w:val="lfej"/>
    <w:uiPriority w:val="99"/>
    <w:locked/>
    <w:rsid w:val="006E7D54"/>
    <w:rPr>
      <w:rFonts w:ascii="Times New Roman" w:hAnsi="Times New Roman" w:cs="Times New Roman"/>
      <w:sz w:val="24"/>
      <w:szCs w:val="24"/>
      <w:lang w:eastAsia="hu-HU"/>
    </w:rPr>
  </w:style>
  <w:style w:type="paragraph" w:styleId="Vltozat">
    <w:name w:val="Revision"/>
    <w:hidden/>
    <w:uiPriority w:val="99"/>
    <w:semiHidden/>
    <w:rsid w:val="003118B8"/>
    <w:rPr>
      <w:rFonts w:ascii="Times New Roman" w:eastAsia="Times New Roman" w:hAnsi="Times New Roman"/>
      <w:sz w:val="24"/>
      <w:szCs w:val="24"/>
    </w:rPr>
  </w:style>
  <w:style w:type="paragraph" w:styleId="Buborkszveg">
    <w:name w:val="Balloon Text"/>
    <w:basedOn w:val="Norml"/>
    <w:link w:val="BuborkszvegChar"/>
    <w:uiPriority w:val="99"/>
    <w:semiHidden/>
    <w:rsid w:val="003118B8"/>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118B8"/>
    <w:rPr>
      <w:rFonts w:ascii="Segoe UI" w:hAnsi="Segoe UI" w:cs="Segoe UI"/>
      <w:sz w:val="18"/>
      <w:szCs w:val="18"/>
      <w:lang w:eastAsia="hu-HU"/>
    </w:rPr>
  </w:style>
  <w:style w:type="table" w:styleId="Rcsostblzat">
    <w:name w:val="Table Grid"/>
    <w:basedOn w:val="Normltblzat"/>
    <w:uiPriority w:val="99"/>
    <w:locked/>
    <w:rsid w:val="00C4391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7D5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E7D54"/>
    <w:pPr>
      <w:tabs>
        <w:tab w:val="center" w:pos="4536"/>
        <w:tab w:val="right" w:pos="9072"/>
      </w:tabs>
    </w:pPr>
  </w:style>
  <w:style w:type="character" w:customStyle="1" w:styleId="llbChar">
    <w:name w:val="Élőláb Char"/>
    <w:basedOn w:val="Bekezdsalapbettpusa"/>
    <w:link w:val="llb"/>
    <w:uiPriority w:val="99"/>
    <w:locked/>
    <w:rsid w:val="006E7D54"/>
    <w:rPr>
      <w:rFonts w:ascii="Times New Roman" w:hAnsi="Times New Roman" w:cs="Times New Roman"/>
      <w:sz w:val="24"/>
      <w:szCs w:val="24"/>
      <w:lang w:eastAsia="hu-HU"/>
    </w:rPr>
  </w:style>
  <w:style w:type="character" w:styleId="Oldalszm">
    <w:name w:val="page number"/>
    <w:basedOn w:val="Bekezdsalapbettpusa"/>
    <w:uiPriority w:val="99"/>
    <w:rsid w:val="006E7D54"/>
  </w:style>
  <w:style w:type="paragraph" w:styleId="Listaszerbekezds">
    <w:name w:val="List Paragraph"/>
    <w:basedOn w:val="Norml"/>
    <w:uiPriority w:val="99"/>
    <w:qFormat/>
    <w:rsid w:val="006E7D54"/>
    <w:pPr>
      <w:ind w:left="720"/>
    </w:pPr>
  </w:style>
  <w:style w:type="paragraph" w:styleId="lfej">
    <w:name w:val="header"/>
    <w:basedOn w:val="Norml"/>
    <w:link w:val="lfejChar"/>
    <w:uiPriority w:val="99"/>
    <w:rsid w:val="006E7D54"/>
    <w:pPr>
      <w:tabs>
        <w:tab w:val="center" w:pos="4536"/>
        <w:tab w:val="right" w:pos="9072"/>
      </w:tabs>
    </w:pPr>
  </w:style>
  <w:style w:type="character" w:customStyle="1" w:styleId="lfejChar">
    <w:name w:val="Élőfej Char"/>
    <w:basedOn w:val="Bekezdsalapbettpusa"/>
    <w:link w:val="lfej"/>
    <w:uiPriority w:val="99"/>
    <w:locked/>
    <w:rsid w:val="006E7D54"/>
    <w:rPr>
      <w:rFonts w:ascii="Times New Roman" w:hAnsi="Times New Roman" w:cs="Times New Roman"/>
      <w:sz w:val="24"/>
      <w:szCs w:val="24"/>
      <w:lang w:eastAsia="hu-HU"/>
    </w:rPr>
  </w:style>
  <w:style w:type="paragraph" w:styleId="Vltozat">
    <w:name w:val="Revision"/>
    <w:hidden/>
    <w:uiPriority w:val="99"/>
    <w:semiHidden/>
    <w:rsid w:val="003118B8"/>
    <w:rPr>
      <w:rFonts w:ascii="Times New Roman" w:eastAsia="Times New Roman" w:hAnsi="Times New Roman"/>
      <w:sz w:val="24"/>
      <w:szCs w:val="24"/>
    </w:rPr>
  </w:style>
  <w:style w:type="paragraph" w:styleId="Buborkszveg">
    <w:name w:val="Balloon Text"/>
    <w:basedOn w:val="Norml"/>
    <w:link w:val="BuborkszvegChar"/>
    <w:uiPriority w:val="99"/>
    <w:semiHidden/>
    <w:rsid w:val="003118B8"/>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118B8"/>
    <w:rPr>
      <w:rFonts w:ascii="Segoe UI" w:hAnsi="Segoe UI" w:cs="Segoe UI"/>
      <w:sz w:val="18"/>
      <w:szCs w:val="18"/>
      <w:lang w:eastAsia="hu-HU"/>
    </w:rPr>
  </w:style>
  <w:style w:type="table" w:styleId="Rcsostblzat">
    <w:name w:val="Table Grid"/>
    <w:basedOn w:val="Normltblzat"/>
    <w:uiPriority w:val="99"/>
    <w:locked/>
    <w:rsid w:val="00C4391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5358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dc:creator>
  <cp:lastModifiedBy>BarthaE</cp:lastModifiedBy>
  <cp:revision>2</cp:revision>
  <cp:lastPrinted>2015-11-13T07:43:00Z</cp:lastPrinted>
  <dcterms:created xsi:type="dcterms:W3CDTF">2015-11-16T07:27:00Z</dcterms:created>
  <dcterms:modified xsi:type="dcterms:W3CDTF">2015-11-16T07:27:00Z</dcterms:modified>
</cp:coreProperties>
</file>